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spacing w:line="360" w:lineRule="auto"/>
        <w:jc w:val="center"/>
        <w:rPr>
          <w:rFonts w:ascii="Times New Roman" w:hAnsi="Times New Roman" w:eastAsia="宋体" w:cs="Times New Roman"/>
          <w:sz w:val="24"/>
        </w:rPr>
      </w:pPr>
      <w:r>
        <w:rPr>
          <w:rFonts w:ascii="Times New Roman" w:hAnsi="Times New Roman" w:eastAsia="宋体" w:cs="Times New Roman"/>
          <w:sz w:val="24"/>
        </w:rPr>
        <w:t>化工学院</w:t>
      </w:r>
    </w:p>
    <w:p>
      <w:pPr>
        <w:spacing w:line="360" w:lineRule="auto"/>
        <w:rPr>
          <w:rFonts w:hint="default" w:ascii="Times New Roman" w:hAnsi="Times New Roman" w:eastAsia="宋体" w:cs="Times New Roman"/>
          <w:sz w:val="24"/>
          <w:szCs w:val="32"/>
          <w:lang w:val="en-US" w:eastAsia="zh-CN"/>
        </w:rPr>
      </w:pPr>
      <w:r>
        <w:rPr>
          <w:rFonts w:ascii="Times New Roman" w:hAnsi="Times New Roman" w:eastAsia="宋体" w:cs="Times New Roman"/>
          <w:b/>
          <w:bCs/>
          <w:sz w:val="24"/>
          <w:szCs w:val="32"/>
        </w:rPr>
        <w:t>招生专业</w:t>
      </w:r>
      <w:r>
        <w:rPr>
          <w:rFonts w:ascii="Times New Roman" w:hAnsi="Times New Roman" w:eastAsia="宋体" w:cs="Times New Roman"/>
          <w:b w:val="0"/>
          <w:bCs w:val="0"/>
          <w:sz w:val="24"/>
          <w:szCs w:val="32"/>
        </w:rPr>
        <w:t>：</w:t>
      </w:r>
      <w:r>
        <w:rPr>
          <w:rFonts w:ascii="Times New Roman" w:hAnsi="Times New Roman" w:eastAsia="宋体" w:cs="Times New Roman"/>
          <w:sz w:val="24"/>
          <w:szCs w:val="32"/>
        </w:rPr>
        <w:t>化学工程与工艺、过程装备与控制工程</w:t>
      </w:r>
      <w:r>
        <w:rPr>
          <w:rFonts w:hint="eastAsia" w:ascii="Times New Roman" w:hAnsi="Times New Roman" w:eastAsia="宋体" w:cs="Times New Roman"/>
          <w:sz w:val="24"/>
          <w:szCs w:val="32"/>
          <w:lang w:eastAsia="zh-CN"/>
        </w:rPr>
        <w:t>、</w:t>
      </w:r>
      <w:r>
        <w:rPr>
          <w:rFonts w:hint="eastAsia" w:ascii="Times New Roman" w:hAnsi="Times New Roman" w:eastAsia="宋体" w:cs="Times New Roman"/>
          <w:sz w:val="24"/>
          <w:szCs w:val="32"/>
          <w:lang w:val="en-US" w:eastAsia="zh-CN"/>
        </w:rPr>
        <w:t>油气储运工程</w:t>
      </w:r>
    </w:p>
    <w:p>
      <w:pPr>
        <w:widowControl/>
        <w:spacing w:line="360" w:lineRule="auto"/>
        <w:rPr>
          <w:rFonts w:ascii="Times New Roman" w:hAnsi="Times New Roman" w:eastAsia="宋体" w:cs="Times New Roman"/>
          <w:sz w:val="24"/>
          <w:szCs w:val="32"/>
        </w:rPr>
      </w:pPr>
      <w:r>
        <w:rPr>
          <w:rFonts w:ascii="Times New Roman" w:hAnsi="Times New Roman" w:eastAsia="宋体" w:cs="Times New Roman"/>
          <w:b/>
          <w:bCs/>
          <w:sz w:val="24"/>
          <w:szCs w:val="32"/>
        </w:rPr>
        <w:t>学院概况</w:t>
      </w:r>
      <w:r>
        <w:rPr>
          <w:rFonts w:ascii="Times New Roman" w:hAnsi="Times New Roman" w:eastAsia="宋体" w:cs="Times New Roman"/>
          <w:b w:val="0"/>
          <w:bCs w:val="0"/>
          <w:sz w:val="24"/>
          <w:szCs w:val="32"/>
        </w:rPr>
        <w:t>：</w:t>
      </w:r>
      <w:r>
        <w:rPr>
          <w:rFonts w:hint="eastAsia" w:ascii="宋体" w:hAnsi="宋体" w:eastAsia="宋体" w:cs="宋体"/>
          <w:kern w:val="0"/>
          <w:sz w:val="24"/>
          <w:lang w:bidi="ar"/>
        </w:rPr>
        <w:t>化工学院是以化学工程学科为基础建立，培养研究型与复合型的本科、研究生等多层次人才为</w:t>
      </w:r>
      <w:bookmarkStart w:id="1" w:name="_GoBack"/>
      <w:bookmarkEnd w:id="1"/>
      <w:r>
        <w:rPr>
          <w:rFonts w:hint="eastAsia" w:ascii="宋体" w:hAnsi="宋体" w:eastAsia="宋体" w:cs="宋体"/>
          <w:kern w:val="0"/>
          <w:sz w:val="24"/>
          <w:lang w:bidi="ar"/>
        </w:rPr>
        <w:t>主，具有产业特色和核心竞争力的一级学院。“化学工程与技术”是学校化学世界一流学科建设的重要组成学科，在2023软科世界一流学科榜单中位居34位；在2024年US News世界大学学科排名中位居19位。学院的发展定位是“研究型、高水平、国际化”。学院拥有化肥催化剂国家工程研究中心和清洁化工新技术国家“</w:t>
      </w:r>
      <w:r>
        <w:rPr>
          <w:rFonts w:ascii="Times New Roman" w:hAnsi="Times New Roman" w:eastAsia="宋体" w:cs="Times New Roman"/>
          <w:kern w:val="0"/>
          <w:sz w:val="24"/>
          <w:lang w:bidi="ar"/>
        </w:rPr>
        <w:t>211</w:t>
      </w:r>
      <w:r>
        <w:rPr>
          <w:rFonts w:hint="eastAsia" w:ascii="宋体" w:hAnsi="宋体" w:eastAsia="宋体" w:cs="宋体"/>
          <w:kern w:val="0"/>
          <w:sz w:val="24"/>
          <w:lang w:bidi="ar"/>
        </w:rPr>
        <w:t>工程”重点学科建设项目，是中国福建化学工程科学与技术实验室的主要依托单位，拥有节能环保工业催化创新福建省高校优势学科创新平台及精细化学品先进制造福建省高校工程研究中心等4个省部级科研平台。拥有化学工程和工业催化两个省级重点学科，化学工程与技术博士后流动站；拥有化学工程与技术一级学科博士学位点，涵盖</w:t>
      </w:r>
      <w:r>
        <w:rPr>
          <w:rFonts w:ascii="Times New Roman" w:hAnsi="Times New Roman" w:eastAsia="宋体" w:cs="Times New Roman"/>
          <w:kern w:val="0"/>
          <w:sz w:val="24"/>
          <w:lang w:bidi="ar"/>
        </w:rPr>
        <w:t>6</w:t>
      </w:r>
      <w:r>
        <w:rPr>
          <w:rFonts w:hint="eastAsia" w:ascii="宋体" w:hAnsi="宋体" w:eastAsia="宋体" w:cs="宋体"/>
          <w:kern w:val="0"/>
          <w:sz w:val="24"/>
          <w:lang w:bidi="ar"/>
        </w:rPr>
        <w:t>个二级学科博士学位点；</w:t>
      </w:r>
      <w:r>
        <w:rPr>
          <w:rFonts w:ascii="Times New Roman" w:hAnsi="Times New Roman" w:eastAsia="宋体" w:cs="Times New Roman"/>
          <w:kern w:val="0"/>
          <w:sz w:val="24"/>
          <w:lang w:bidi="ar"/>
        </w:rPr>
        <w:t>1</w:t>
      </w:r>
      <w:r>
        <w:rPr>
          <w:rFonts w:hint="eastAsia" w:ascii="宋体" w:hAnsi="宋体" w:eastAsia="宋体" w:cs="宋体"/>
          <w:kern w:val="0"/>
          <w:sz w:val="24"/>
          <w:lang w:bidi="ar"/>
        </w:rPr>
        <w:t>个材料与化工专业学位博士点；拥有化学工程与技术一级学科硕士点，涵盖</w:t>
      </w:r>
      <w:r>
        <w:rPr>
          <w:rFonts w:ascii="Times New Roman" w:hAnsi="Times New Roman" w:eastAsia="宋体" w:cs="Times New Roman"/>
          <w:kern w:val="0"/>
          <w:sz w:val="24"/>
          <w:lang w:bidi="ar"/>
        </w:rPr>
        <w:t>4</w:t>
      </w:r>
      <w:r>
        <w:rPr>
          <w:rFonts w:hint="eastAsia" w:ascii="宋体" w:hAnsi="宋体" w:eastAsia="宋体" w:cs="宋体"/>
          <w:kern w:val="0"/>
          <w:sz w:val="24"/>
          <w:lang w:bidi="ar"/>
        </w:rPr>
        <w:t>个二级学科硕士点及</w:t>
      </w:r>
      <w:r>
        <w:rPr>
          <w:rFonts w:ascii="Times New Roman" w:hAnsi="Times New Roman" w:eastAsia="宋体" w:cs="Times New Roman"/>
          <w:kern w:val="0"/>
          <w:sz w:val="24"/>
          <w:lang w:bidi="ar"/>
        </w:rPr>
        <w:t>1</w:t>
      </w:r>
      <w:r>
        <w:rPr>
          <w:rFonts w:hint="eastAsia" w:ascii="宋体" w:hAnsi="宋体" w:eastAsia="宋体" w:cs="宋体"/>
          <w:kern w:val="0"/>
          <w:sz w:val="24"/>
          <w:lang w:bidi="ar"/>
        </w:rPr>
        <w:t>个化学工程专业学位硕士点。学院现设化学工程与工艺、过程装备与控制工程和油气储运</w:t>
      </w:r>
      <w:r>
        <w:rPr>
          <w:rFonts w:ascii="宋体" w:hAnsi="宋体" w:eastAsia="宋体" w:cs="宋体"/>
          <w:kern w:val="0"/>
          <w:sz w:val="24"/>
          <w:lang w:bidi="ar"/>
        </w:rPr>
        <w:t>工程</w:t>
      </w:r>
      <w:r>
        <w:rPr>
          <w:rFonts w:ascii="Times New Roman" w:hAnsi="Times New Roman" w:eastAsia="宋体" w:cs="Times New Roman"/>
          <w:kern w:val="0"/>
          <w:sz w:val="24"/>
          <w:lang w:bidi="ar"/>
        </w:rPr>
        <w:t>3</w:t>
      </w:r>
      <w:r>
        <w:rPr>
          <w:rFonts w:hint="eastAsia" w:ascii="宋体" w:hAnsi="宋体" w:eastAsia="宋体" w:cs="宋体"/>
          <w:kern w:val="0"/>
          <w:sz w:val="24"/>
          <w:lang w:bidi="ar"/>
        </w:rPr>
        <w:t>个本科专业。学院突出工科特色、注重学生的工程实践能力培养，拥有国家级大学生校外实践教育基地，培养可适应社会发展的化工类高素质工程技术人才。</w:t>
      </w:r>
    </w:p>
    <w:p>
      <w:pPr>
        <w:widowControl/>
        <w:spacing w:line="360" w:lineRule="auto"/>
        <w:rPr>
          <w:rFonts w:ascii="Times New Roman" w:hAnsi="Times New Roman" w:eastAsia="宋体" w:cs="Times New Roman"/>
          <w:kern w:val="0"/>
          <w:sz w:val="24"/>
          <w:lang w:bidi="ar"/>
        </w:rPr>
      </w:pPr>
      <w:r>
        <w:rPr>
          <w:rFonts w:ascii="Times New Roman" w:hAnsi="Times New Roman" w:eastAsia="宋体" w:cs="Times New Roman"/>
          <w:b/>
          <w:bCs/>
          <w:sz w:val="24"/>
          <w:szCs w:val="32"/>
        </w:rPr>
        <w:t>师资力量：</w:t>
      </w:r>
      <w:r>
        <w:rPr>
          <w:rFonts w:ascii="Times New Roman" w:hAnsi="Times New Roman" w:eastAsia="宋体" w:cs="Times New Roman"/>
          <w:kern w:val="0"/>
          <w:sz w:val="24"/>
          <w:lang w:bidi="ar"/>
        </w:rPr>
        <w:t>学院师资力量雄厚，现有教职工142人，专任教师116人，正高级职称46人、副高级职称58人，具有博士学位的教师的比例达94.8%，具海外经历的专任教师超50%。学院拥有科技部重点领域创新团队1支，教育部全国高校黄大年式教师团队1支，国家基金委创新研究群体1支，国家杰出青年基金获得者</w:t>
      </w:r>
      <w:r>
        <w:rPr>
          <w:rFonts w:hint="eastAsia" w:ascii="Times New Roman" w:hAnsi="Times New Roman" w:eastAsia="宋体" w:cs="Times New Roman"/>
          <w:kern w:val="0"/>
          <w:sz w:val="24"/>
          <w:lang w:bidi="ar"/>
        </w:rPr>
        <w:t>、</w:t>
      </w:r>
      <w:r>
        <w:rPr>
          <w:rFonts w:ascii="Times New Roman" w:hAnsi="Times New Roman" w:eastAsia="宋体" w:cs="Times New Roman"/>
          <w:kern w:val="0"/>
          <w:sz w:val="24"/>
          <w:lang w:bidi="ar"/>
        </w:rPr>
        <w:t>973计划项目首席科学家</w:t>
      </w:r>
      <w:r>
        <w:rPr>
          <w:rFonts w:hint="eastAsia" w:ascii="Times New Roman" w:hAnsi="Times New Roman" w:eastAsia="宋体" w:cs="Times New Roman"/>
          <w:kern w:val="0"/>
          <w:sz w:val="24"/>
          <w:lang w:bidi="ar"/>
        </w:rPr>
        <w:t>、</w:t>
      </w:r>
      <w:r>
        <w:rPr>
          <w:rFonts w:hint="eastAsia" w:ascii="宋体" w:hAnsi="宋体" w:eastAsia="宋体" w:cs="宋体"/>
          <w:kern w:val="0"/>
          <w:sz w:val="24"/>
          <w:lang w:bidi="ar"/>
        </w:rPr>
        <w:t>国家“万人计划”科技创新领军人才</w:t>
      </w:r>
      <w:r>
        <w:rPr>
          <w:rFonts w:ascii="Times New Roman" w:hAnsi="Times New Roman" w:eastAsia="宋体" w:cs="Times New Roman"/>
          <w:kern w:val="0"/>
          <w:sz w:val="24"/>
          <w:lang w:bidi="ar"/>
        </w:rPr>
        <w:t>等各类国家级人才</w:t>
      </w:r>
      <w:r>
        <w:rPr>
          <w:rFonts w:hint="eastAsia" w:ascii="Times New Roman" w:hAnsi="Times New Roman" w:eastAsia="宋体" w:cs="Times New Roman"/>
          <w:kern w:val="0"/>
          <w:sz w:val="24"/>
          <w:lang w:bidi="ar"/>
        </w:rPr>
        <w:t>18</w:t>
      </w:r>
      <w:r>
        <w:rPr>
          <w:rFonts w:ascii="Times New Roman" w:hAnsi="Times New Roman" w:eastAsia="宋体" w:cs="Times New Roman"/>
          <w:kern w:val="0"/>
          <w:sz w:val="24"/>
          <w:lang w:bidi="ar"/>
        </w:rPr>
        <w:t>人，</w:t>
      </w:r>
      <w:r>
        <w:rPr>
          <w:rFonts w:ascii="宋体" w:hAnsi="宋体" w:eastAsia="宋体" w:cs="宋体"/>
          <w:kern w:val="0"/>
          <w:sz w:val="24"/>
          <w:lang w:bidi="ar"/>
        </w:rPr>
        <w:t>“</w:t>
      </w:r>
      <w:r>
        <w:rPr>
          <w:rFonts w:ascii="Times New Roman" w:hAnsi="Times New Roman" w:eastAsia="宋体" w:cs="Times New Roman"/>
          <w:kern w:val="0"/>
          <w:sz w:val="24"/>
          <w:lang w:bidi="ar"/>
        </w:rPr>
        <w:t>闽江学者</w:t>
      </w:r>
      <w:r>
        <w:rPr>
          <w:rFonts w:ascii="宋体" w:hAnsi="宋体" w:eastAsia="宋体" w:cs="宋体"/>
          <w:kern w:val="0"/>
          <w:sz w:val="24"/>
          <w:lang w:bidi="ar"/>
        </w:rPr>
        <w:t>”</w:t>
      </w:r>
      <w:r>
        <w:rPr>
          <w:rFonts w:ascii="Times New Roman" w:hAnsi="Times New Roman" w:eastAsia="宋体" w:cs="Times New Roman"/>
          <w:kern w:val="0"/>
          <w:sz w:val="24"/>
          <w:lang w:bidi="ar"/>
        </w:rPr>
        <w:t>特聘教授等各类省级人才</w:t>
      </w:r>
      <w:r>
        <w:rPr>
          <w:rFonts w:hint="eastAsia" w:ascii="Times New Roman" w:hAnsi="Times New Roman" w:eastAsia="宋体" w:cs="Times New Roman"/>
          <w:kern w:val="0"/>
          <w:sz w:val="24"/>
          <w:lang w:bidi="ar"/>
        </w:rPr>
        <w:t>25</w:t>
      </w:r>
      <w:r>
        <w:rPr>
          <w:rFonts w:ascii="Times New Roman" w:hAnsi="Times New Roman" w:eastAsia="宋体" w:cs="Times New Roman"/>
          <w:kern w:val="0"/>
          <w:sz w:val="24"/>
          <w:lang w:bidi="ar"/>
        </w:rPr>
        <w:t>人</w:t>
      </w:r>
      <w:r>
        <w:rPr>
          <w:rFonts w:hint="eastAsia" w:ascii="Times New Roman" w:hAnsi="Times New Roman" w:eastAsia="宋体" w:cs="Times New Roman"/>
          <w:kern w:val="0"/>
          <w:sz w:val="24"/>
          <w:lang w:bidi="ar"/>
        </w:rPr>
        <w:t>、福建省高层次人才57人</w:t>
      </w:r>
      <w:r>
        <w:rPr>
          <w:rFonts w:ascii="Times New Roman" w:hAnsi="Times New Roman" w:eastAsia="宋体" w:cs="Times New Roman"/>
          <w:kern w:val="0"/>
          <w:sz w:val="24"/>
          <w:lang w:bidi="ar"/>
        </w:rPr>
        <w:t>。学院现有博士生导师39人，硕士生导师人105人，依托国家外专局和教育部</w:t>
      </w:r>
      <w:r>
        <w:rPr>
          <w:rFonts w:ascii="宋体" w:hAnsi="宋体" w:eastAsia="宋体" w:cs="宋体"/>
          <w:kern w:val="0"/>
          <w:sz w:val="24"/>
          <w:lang w:bidi="ar"/>
        </w:rPr>
        <w:t>“</w:t>
      </w:r>
      <w:r>
        <w:rPr>
          <w:rFonts w:ascii="Times New Roman" w:hAnsi="Times New Roman" w:eastAsia="宋体" w:cs="Times New Roman"/>
          <w:kern w:val="0"/>
          <w:sz w:val="24"/>
          <w:lang w:bidi="ar"/>
        </w:rPr>
        <w:t>绿色石油化工创新111引智基地</w:t>
      </w:r>
      <w:r>
        <w:rPr>
          <w:rFonts w:ascii="宋体" w:hAnsi="宋体" w:eastAsia="宋体" w:cs="宋体"/>
          <w:kern w:val="0"/>
          <w:sz w:val="24"/>
          <w:lang w:bidi="ar"/>
        </w:rPr>
        <w:t>”</w:t>
      </w:r>
      <w:r>
        <w:rPr>
          <w:rFonts w:ascii="Times New Roman" w:hAnsi="Times New Roman" w:eastAsia="宋体" w:cs="Times New Roman"/>
          <w:kern w:val="0"/>
          <w:sz w:val="24"/>
          <w:lang w:bidi="ar"/>
        </w:rPr>
        <w:t>，采用松紧双轨方式引聘欧洲三院院士、加拿大工程院院士等15名海外大师加入导师队伍。依托合作企业，聘请20余位专家构建企业导师队伍。</w:t>
      </w:r>
    </w:p>
    <w:p>
      <w:pPr>
        <w:widowControl/>
        <w:spacing w:line="360" w:lineRule="auto"/>
        <w:jc w:val="left"/>
        <w:rPr>
          <w:rFonts w:ascii="Times New Roman" w:hAnsi="Times New Roman" w:eastAsia="宋体" w:cs="Times New Roman"/>
          <w:kern w:val="0"/>
          <w:sz w:val="24"/>
          <w:lang w:bidi="ar"/>
        </w:rPr>
      </w:pPr>
      <w:r>
        <w:rPr>
          <w:rFonts w:ascii="Times New Roman" w:hAnsi="Times New Roman" w:eastAsia="宋体" w:cs="Times New Roman"/>
          <w:b/>
          <w:bCs/>
          <w:kern w:val="0"/>
          <w:sz w:val="24"/>
          <w:lang w:bidi="ar"/>
        </w:rPr>
        <w:t>学生发展：</w:t>
      </w:r>
      <w:r>
        <w:rPr>
          <w:rFonts w:ascii="Times New Roman" w:hAnsi="Times New Roman" w:eastAsia="宋体" w:cs="Times New Roman"/>
          <w:kern w:val="0"/>
          <w:sz w:val="24"/>
          <w:lang w:bidi="ar"/>
        </w:rPr>
        <w:t>学院注重通专融合培养，以交叉融合、特色融合、优势互融推动复合型、研究型、创新型人才培养，鼓励本科生</w:t>
      </w:r>
      <w:r>
        <w:rPr>
          <w:rFonts w:ascii="宋体" w:hAnsi="宋体" w:eastAsia="宋体" w:cs="宋体"/>
          <w:kern w:val="0"/>
          <w:sz w:val="24"/>
          <w:lang w:bidi="ar"/>
        </w:rPr>
        <w:t>“</w:t>
      </w:r>
      <w:r>
        <w:rPr>
          <w:rFonts w:ascii="Times New Roman" w:hAnsi="Times New Roman" w:eastAsia="宋体" w:cs="Times New Roman"/>
          <w:kern w:val="0"/>
          <w:sz w:val="24"/>
          <w:lang w:bidi="ar"/>
        </w:rPr>
        <w:t>进实验室、进兴趣组、进项目组</w:t>
      </w:r>
      <w:r>
        <w:rPr>
          <w:rFonts w:ascii="宋体" w:hAnsi="宋体" w:eastAsia="宋体" w:cs="宋体"/>
          <w:kern w:val="0"/>
          <w:sz w:val="24"/>
          <w:lang w:bidi="ar"/>
        </w:rPr>
        <w:t>”</w:t>
      </w:r>
      <w:r>
        <w:rPr>
          <w:rFonts w:ascii="Times New Roman" w:hAnsi="Times New Roman" w:eastAsia="宋体" w:cs="Times New Roman"/>
          <w:kern w:val="0"/>
          <w:sz w:val="24"/>
          <w:lang w:bidi="ar"/>
        </w:rPr>
        <w:t>，推动创新创业教育与专业科研教育的深度融合，引导学生参加各类创新创业大赛，在第七届和第八届中国国际</w:t>
      </w:r>
      <w:r>
        <w:rPr>
          <w:rFonts w:ascii="宋体" w:hAnsi="宋体" w:eastAsia="宋体" w:cs="宋体"/>
          <w:kern w:val="0"/>
          <w:sz w:val="24"/>
          <w:lang w:bidi="ar"/>
        </w:rPr>
        <w:t>“</w:t>
      </w:r>
      <w:r>
        <w:rPr>
          <w:rFonts w:ascii="Times New Roman" w:hAnsi="Times New Roman" w:eastAsia="宋体" w:cs="Times New Roman"/>
          <w:kern w:val="0"/>
          <w:sz w:val="24"/>
          <w:lang w:bidi="ar"/>
        </w:rPr>
        <w:t>互联网+</w:t>
      </w:r>
      <w:r>
        <w:rPr>
          <w:rFonts w:ascii="宋体" w:hAnsi="宋体" w:eastAsia="宋体" w:cs="宋体"/>
          <w:kern w:val="0"/>
          <w:sz w:val="24"/>
          <w:lang w:bidi="ar"/>
        </w:rPr>
        <w:t>”</w:t>
      </w:r>
      <w:r>
        <w:rPr>
          <w:rFonts w:ascii="Times New Roman" w:hAnsi="Times New Roman" w:eastAsia="宋体" w:cs="Times New Roman"/>
          <w:kern w:val="0"/>
          <w:sz w:val="24"/>
          <w:lang w:bidi="ar"/>
        </w:rPr>
        <w:t>大学生创新创业大赛上连续荣获高教主赛道金奖，在第十四届</w:t>
      </w:r>
      <w:r>
        <w:rPr>
          <w:rFonts w:ascii="宋体" w:hAnsi="宋体" w:eastAsia="宋体" w:cs="宋体"/>
          <w:kern w:val="0"/>
          <w:sz w:val="24"/>
          <w:lang w:bidi="ar"/>
        </w:rPr>
        <w:t>“</w:t>
      </w:r>
      <w:r>
        <w:rPr>
          <w:rFonts w:ascii="Times New Roman" w:hAnsi="Times New Roman" w:eastAsia="宋体" w:cs="Times New Roman"/>
          <w:kern w:val="0"/>
          <w:sz w:val="24"/>
          <w:lang w:bidi="ar"/>
        </w:rPr>
        <w:t>挑战杯</w:t>
      </w:r>
      <w:r>
        <w:rPr>
          <w:rFonts w:ascii="宋体" w:hAnsi="宋体" w:eastAsia="宋体" w:cs="宋体"/>
          <w:kern w:val="0"/>
          <w:sz w:val="24"/>
          <w:lang w:bidi="ar"/>
        </w:rPr>
        <w:t>”</w:t>
      </w:r>
      <w:r>
        <w:rPr>
          <w:rFonts w:ascii="Times New Roman" w:hAnsi="Times New Roman" w:eastAsia="宋体" w:cs="Times New Roman"/>
          <w:kern w:val="0"/>
          <w:sz w:val="24"/>
          <w:lang w:bidi="ar"/>
        </w:rPr>
        <w:t>秦创原中国大学生创业计划竞赛荣获金奖，多次获全国大学生化工实验竞赛、全国过程装备实践与创新大赛一等奖。</w:t>
      </w:r>
    </w:p>
    <w:p>
      <w:pPr>
        <w:spacing w:line="360" w:lineRule="auto"/>
        <w:rPr>
          <w:rFonts w:ascii="Times New Roman" w:hAnsi="Times New Roman" w:cs="Times New Roman"/>
          <w:sz w:val="24"/>
          <w:szCs w:val="32"/>
        </w:rPr>
      </w:pPr>
      <w:r>
        <w:rPr>
          <w:rFonts w:ascii="Times New Roman" w:hAnsi="Times New Roman" w:eastAsia="宋体" w:cs="Times New Roman"/>
          <w:b/>
          <w:bCs/>
          <w:sz w:val="24"/>
          <w:szCs w:val="32"/>
        </w:rPr>
        <w:t>本校对应硕士点（3个）:</w:t>
      </w:r>
      <w:r>
        <w:rPr>
          <w:rFonts w:ascii="Times New Roman" w:hAnsi="Times New Roman" w:cs="Times New Roman"/>
          <w:sz w:val="24"/>
          <w:szCs w:val="32"/>
        </w:rPr>
        <w:t>化学工程与技术（一级学科硕士点）、化工装备与控制工程（一级学科自主设置的二级学科硕士点）、化学工程（专硕）</w:t>
      </w:r>
    </w:p>
    <w:p>
      <w:pPr>
        <w:spacing w:line="360" w:lineRule="auto"/>
        <w:rPr>
          <w:rFonts w:ascii="Times New Roman" w:hAnsi="Times New Roman" w:cs="Times New Roman"/>
          <w:sz w:val="24"/>
          <w:szCs w:val="32"/>
        </w:rPr>
      </w:pPr>
      <w:r>
        <w:rPr>
          <w:rFonts w:ascii="Times New Roman" w:hAnsi="Times New Roman" w:eastAsia="宋体" w:cs="Times New Roman"/>
          <w:b/>
          <w:bCs/>
          <w:sz w:val="24"/>
          <w:szCs w:val="32"/>
        </w:rPr>
        <w:t>本校对应博士点（7个）：</w:t>
      </w:r>
      <w:r>
        <w:rPr>
          <w:rFonts w:ascii="Times New Roman" w:hAnsi="Times New Roman" w:cs="Times New Roman"/>
          <w:sz w:val="24"/>
          <w:szCs w:val="32"/>
        </w:rPr>
        <w:t>化学工程、化学工艺、工业催化、环境化工、化工装备与控制工程、生物与医药工程（后</w:t>
      </w:r>
      <w:r>
        <w:rPr>
          <w:rFonts w:hint="eastAsia" w:ascii="Times New Roman" w:hAnsi="Times New Roman" w:cs="Times New Roman"/>
          <w:sz w:val="24"/>
          <w:szCs w:val="32"/>
        </w:rPr>
        <w:t>3个为自主设置</w:t>
      </w:r>
      <w:r>
        <w:rPr>
          <w:rFonts w:ascii="Times New Roman" w:hAnsi="Times New Roman" w:cs="Times New Roman"/>
          <w:sz w:val="24"/>
          <w:szCs w:val="32"/>
        </w:rPr>
        <w:t>）、材料与化工（专业学位博士）</w:t>
      </w:r>
    </w:p>
    <w:p>
      <w:pPr>
        <w:spacing w:line="360" w:lineRule="auto"/>
        <w:rPr>
          <w:rFonts w:ascii="Times New Roman" w:hAnsi="Times New Roman" w:cs="Times New Roman"/>
          <w:sz w:val="24"/>
          <w:szCs w:val="32"/>
        </w:rPr>
      </w:pPr>
      <w:r>
        <w:rPr>
          <w:rFonts w:ascii="Times New Roman" w:hAnsi="Times New Roman" w:cs="Times New Roman"/>
          <w:b/>
          <w:bCs/>
          <w:sz w:val="24"/>
          <w:szCs w:val="32"/>
        </w:rPr>
        <w:t>对外交流：</w:t>
      </w:r>
      <w:r>
        <w:rPr>
          <w:rFonts w:ascii="Times New Roman" w:hAnsi="Times New Roman" w:cs="Times New Roman"/>
          <w:sz w:val="24"/>
          <w:szCs w:val="32"/>
        </w:rPr>
        <w:t>学院积极拓展与国外及港、澳、台湾地区高校与研究机构的合作与交流，先后与新加坡国立大学等国际知名高校以及天津大学、中科院等国内985高校和研究所建立人才培养和科研合作关系，并多次承办全国性、国际性学术会议。</w:t>
      </w:r>
    </w:p>
    <w:p>
      <w:pPr>
        <w:spacing w:line="360" w:lineRule="auto"/>
        <w:jc w:val="center"/>
        <w:rPr>
          <w:rFonts w:ascii="Times New Roman" w:hAnsi="Times New Roman" w:eastAsia="宋体" w:cs="Times New Roman"/>
          <w:b/>
          <w:bCs/>
          <w:color w:val="FF0000"/>
          <w:sz w:val="24"/>
          <w:szCs w:val="32"/>
        </w:rPr>
      </w:pPr>
      <w:r>
        <w:rPr>
          <w:rFonts w:ascii="Times New Roman" w:hAnsi="Times New Roman" w:eastAsia="宋体" w:cs="Times New Roman"/>
          <w:b/>
          <w:bCs/>
          <w:color w:val="FF0000"/>
          <w:sz w:val="24"/>
          <w:szCs w:val="32"/>
        </w:rPr>
        <w:drawing>
          <wp:inline distT="0" distB="0" distL="114300" distR="114300">
            <wp:extent cx="5557520" cy="2762250"/>
            <wp:effectExtent l="0" t="0" r="5080" b="0"/>
            <wp:docPr id="1" name="图片 1" descr="1742545827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42545827776"/>
                    <pic:cNvPicPr>
                      <a:picLocks noChangeAspect="1"/>
                    </pic:cNvPicPr>
                  </pic:nvPicPr>
                  <pic:blipFill>
                    <a:blip r:embed="rId4"/>
                    <a:stretch>
                      <a:fillRect/>
                    </a:stretch>
                  </pic:blipFill>
                  <pic:spPr>
                    <a:xfrm>
                      <a:off x="0" y="0"/>
                      <a:ext cx="5557520" cy="2762250"/>
                    </a:xfrm>
                    <a:prstGeom prst="rect">
                      <a:avLst/>
                    </a:prstGeom>
                  </pic:spPr>
                </pic:pic>
              </a:graphicData>
            </a:graphic>
          </wp:inline>
        </w:drawing>
      </w:r>
    </w:p>
    <w:p>
      <w:pPr>
        <w:spacing w:line="360" w:lineRule="auto"/>
        <w:jc w:val="center"/>
        <w:rPr>
          <w:rFonts w:ascii="Times New Roman" w:hAnsi="Times New Roman" w:eastAsia="宋体" w:cs="Times New Roman"/>
          <w:b/>
          <w:bCs/>
          <w:sz w:val="24"/>
          <w:szCs w:val="32"/>
        </w:rPr>
      </w:pPr>
      <w:r>
        <w:rPr>
          <w:rFonts w:ascii="Times New Roman" w:hAnsi="Times New Roman" w:eastAsia="宋体" w:cs="Times New Roman"/>
          <w:sz w:val="24"/>
          <w:szCs w:val="32"/>
        </w:rPr>
        <w:t>化工学院</w:t>
      </w:r>
    </w:p>
    <w:p>
      <w:pPr>
        <w:spacing w:line="360" w:lineRule="auto"/>
        <w:jc w:val="center"/>
        <w:rPr>
          <w:rFonts w:hint="eastAsia" w:ascii="Times New Roman" w:hAnsi="Times New Roman" w:eastAsia="宋体" w:cs="Times New Roman"/>
          <w:b/>
          <w:bCs/>
          <w:sz w:val="24"/>
          <w:szCs w:val="32"/>
          <w:lang w:eastAsia="zh-CN"/>
        </w:rPr>
      </w:pPr>
      <w:r>
        <w:rPr>
          <w:rFonts w:hint="eastAsia" w:ascii="Times New Roman" w:hAnsi="Times New Roman" w:eastAsia="宋体" w:cs="Times New Roman"/>
          <w:b/>
          <w:bCs/>
          <w:sz w:val="24"/>
          <w:szCs w:val="32"/>
          <w:lang w:eastAsia="zh-CN"/>
        </w:rPr>
        <w:drawing>
          <wp:inline distT="0" distB="0" distL="114300" distR="114300">
            <wp:extent cx="5473700" cy="2909570"/>
            <wp:effectExtent l="0" t="0" r="12700" b="5080"/>
            <wp:docPr id="4" name="图片 4" descr="ad6e77c401b5d083cead1d6162286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d6e77c401b5d083cead1d61622865e"/>
                    <pic:cNvPicPr>
                      <a:picLocks noChangeAspect="1"/>
                    </pic:cNvPicPr>
                  </pic:nvPicPr>
                  <pic:blipFill>
                    <a:blip r:embed="rId5"/>
                    <a:stretch>
                      <a:fillRect/>
                    </a:stretch>
                  </pic:blipFill>
                  <pic:spPr>
                    <a:xfrm>
                      <a:off x="0" y="0"/>
                      <a:ext cx="5473700" cy="2909570"/>
                    </a:xfrm>
                    <a:prstGeom prst="rect">
                      <a:avLst/>
                    </a:prstGeom>
                  </pic:spPr>
                </pic:pic>
              </a:graphicData>
            </a:graphic>
          </wp:inline>
        </w:drawing>
      </w:r>
    </w:p>
    <w:p>
      <w:pPr>
        <w:spacing w:line="360" w:lineRule="auto"/>
        <w:jc w:val="center"/>
        <w:rPr>
          <w:rFonts w:hint="eastAsia" w:ascii="Times New Roman" w:hAnsi="Times New Roman" w:eastAsia="宋体" w:cs="Times New Roman"/>
          <w:b w:val="0"/>
          <w:bCs w:val="0"/>
          <w:sz w:val="24"/>
          <w:szCs w:val="32"/>
          <w:lang w:val="en-US" w:eastAsia="zh-CN"/>
        </w:rPr>
      </w:pPr>
      <w:r>
        <w:rPr>
          <w:rFonts w:hint="eastAsia" w:ascii="Times New Roman" w:hAnsi="Times New Roman" w:eastAsia="宋体" w:cs="Times New Roman"/>
          <w:b w:val="0"/>
          <w:bCs w:val="0"/>
          <w:sz w:val="24"/>
          <w:szCs w:val="32"/>
          <w:lang w:val="en-US" w:eastAsia="zh-CN"/>
        </w:rPr>
        <w:t>学院学子在第十四届“挑战杯”秦创原中国大学生创业计划竞赛荣获金奖</w:t>
      </w:r>
    </w:p>
    <w:p>
      <w:pPr>
        <w:pStyle w:val="4"/>
        <w:spacing w:line="360" w:lineRule="auto"/>
        <w:jc w:val="center"/>
        <w:rPr>
          <w:rFonts w:ascii="Times New Roman" w:hAnsi="Times New Roman" w:eastAsia="宋体" w:cs="Times New Roman"/>
        </w:rPr>
      </w:pPr>
      <w:r>
        <w:rPr>
          <w:rFonts w:ascii="Times New Roman" w:hAnsi="Times New Roman" w:eastAsia="宋体" w:cs="Times New Roman"/>
        </w:rPr>
        <w:t>化学工程与工艺专业</w:t>
      </w:r>
    </w:p>
    <w:p>
      <w:pPr>
        <w:spacing w:line="360" w:lineRule="auto"/>
        <w:rPr>
          <w:rFonts w:ascii="Times New Roman" w:hAnsi="Times New Roman" w:cs="Times New Roman"/>
          <w:sz w:val="24"/>
          <w:szCs w:val="32"/>
        </w:rPr>
      </w:pPr>
      <w:r>
        <w:rPr>
          <w:rFonts w:ascii="Times New Roman" w:hAnsi="Times New Roman" w:cs="Times New Roman"/>
          <w:b/>
          <w:bCs/>
          <w:sz w:val="24"/>
          <w:szCs w:val="32"/>
        </w:rPr>
        <w:t>学制：</w:t>
      </w:r>
      <w:r>
        <w:rPr>
          <w:rFonts w:ascii="Times New Roman" w:hAnsi="Times New Roman" w:cs="Times New Roman"/>
          <w:sz w:val="24"/>
          <w:szCs w:val="32"/>
        </w:rPr>
        <w:t>4年</w:t>
      </w:r>
      <w:r>
        <w:rPr>
          <w:rFonts w:hint="eastAsia" w:ascii="Times New Roman" w:hAnsi="Times New Roman" w:cs="Times New Roman"/>
          <w:sz w:val="24"/>
          <w:szCs w:val="32"/>
          <w:lang w:val="en-US" w:eastAsia="zh-CN"/>
        </w:rPr>
        <w:t xml:space="preserve">     </w:t>
      </w:r>
      <w:r>
        <w:rPr>
          <w:rFonts w:hint="eastAsia" w:ascii="Times New Roman" w:hAnsi="Times New Roman" w:cs="Times New Roman"/>
          <w:b/>
          <w:bCs/>
          <w:sz w:val="24"/>
          <w:szCs w:val="32"/>
          <w:lang w:val="en-US" w:eastAsia="zh-CN"/>
        </w:rPr>
        <w:t xml:space="preserve">                            </w:t>
      </w:r>
      <w:r>
        <w:rPr>
          <w:rFonts w:ascii="Times New Roman" w:hAnsi="Times New Roman" w:cs="Times New Roman"/>
          <w:b/>
          <w:bCs/>
          <w:sz w:val="24"/>
          <w:szCs w:val="32"/>
        </w:rPr>
        <w:t>学位授予门类：</w:t>
      </w:r>
      <w:r>
        <w:rPr>
          <w:rFonts w:ascii="Times New Roman" w:hAnsi="Times New Roman" w:cs="Times New Roman"/>
          <w:sz w:val="24"/>
          <w:szCs w:val="32"/>
        </w:rPr>
        <w:t>授予工学学士学位</w:t>
      </w:r>
    </w:p>
    <w:p>
      <w:pPr>
        <w:spacing w:line="360" w:lineRule="auto"/>
        <w:rPr>
          <w:rFonts w:ascii="Times New Roman" w:hAnsi="Times New Roman" w:cs="Times New Roman"/>
          <w:sz w:val="24"/>
          <w:szCs w:val="32"/>
        </w:rPr>
      </w:pPr>
      <w:r>
        <w:rPr>
          <w:rFonts w:ascii="Times New Roman" w:hAnsi="Times New Roman" w:cs="Times New Roman"/>
          <w:b/>
          <w:bCs/>
          <w:sz w:val="24"/>
          <w:szCs w:val="32"/>
          <w:shd w:val="clear" w:color="auto" w:fill="auto"/>
        </w:rPr>
        <w:t>专业荣誉</w:t>
      </w:r>
      <w:r>
        <w:rPr>
          <w:rFonts w:ascii="Times New Roman" w:hAnsi="Times New Roman" w:cs="Times New Roman"/>
          <w:sz w:val="24"/>
          <w:szCs w:val="32"/>
          <w:shd w:val="clear" w:color="auto" w:fill="auto"/>
        </w:rPr>
        <w:t>：</w:t>
      </w:r>
      <w:r>
        <w:rPr>
          <w:rFonts w:ascii="Times New Roman" w:hAnsi="Times New Roman" w:cs="Times New Roman"/>
          <w:sz w:val="24"/>
          <w:szCs w:val="32"/>
        </w:rPr>
        <w:t>化学工程与工艺专业依托</w:t>
      </w:r>
      <w:r>
        <w:rPr>
          <w:rFonts w:ascii="宋体" w:hAnsi="宋体" w:eastAsia="宋体" w:cs="宋体"/>
          <w:sz w:val="24"/>
          <w:szCs w:val="32"/>
        </w:rPr>
        <w:t>“</w:t>
      </w:r>
      <w:r>
        <w:rPr>
          <w:rFonts w:ascii="Times New Roman" w:hAnsi="Times New Roman" w:cs="Times New Roman"/>
          <w:sz w:val="24"/>
          <w:szCs w:val="32"/>
        </w:rPr>
        <w:t>化学科学与工程</w:t>
      </w:r>
      <w:r>
        <w:rPr>
          <w:rFonts w:ascii="宋体" w:hAnsi="宋体" w:eastAsia="宋体" w:cs="宋体"/>
          <w:sz w:val="24"/>
          <w:szCs w:val="32"/>
        </w:rPr>
        <w:t>”</w:t>
      </w:r>
      <w:r>
        <w:rPr>
          <w:rFonts w:ascii="Times New Roman" w:hAnsi="Times New Roman" w:cs="Times New Roman"/>
          <w:sz w:val="24"/>
          <w:szCs w:val="32"/>
        </w:rPr>
        <w:t>学科群入选国家首批世界一流学科建设计划，属于国家</w:t>
      </w:r>
      <w:r>
        <w:rPr>
          <w:rFonts w:ascii="宋体" w:hAnsi="宋体" w:eastAsia="宋体" w:cs="宋体"/>
          <w:sz w:val="24"/>
          <w:szCs w:val="32"/>
        </w:rPr>
        <w:t>“</w:t>
      </w:r>
      <w:r>
        <w:rPr>
          <w:rFonts w:ascii="Times New Roman" w:hAnsi="Times New Roman" w:cs="Times New Roman"/>
          <w:sz w:val="24"/>
          <w:szCs w:val="32"/>
        </w:rPr>
        <w:t>211工程</w:t>
      </w:r>
      <w:r>
        <w:rPr>
          <w:rFonts w:ascii="宋体" w:hAnsi="宋体" w:eastAsia="宋体" w:cs="宋体"/>
          <w:sz w:val="24"/>
          <w:szCs w:val="32"/>
        </w:rPr>
        <w:t>”</w:t>
      </w:r>
      <w:r>
        <w:rPr>
          <w:rFonts w:ascii="Times New Roman" w:hAnsi="Times New Roman" w:cs="Times New Roman"/>
          <w:sz w:val="24"/>
          <w:szCs w:val="32"/>
        </w:rPr>
        <w:t>重点建设学科，福州大学</w:t>
      </w:r>
      <w:r>
        <w:rPr>
          <w:rFonts w:ascii="宋体" w:hAnsi="宋体" w:eastAsia="宋体" w:cs="宋体"/>
          <w:sz w:val="24"/>
          <w:szCs w:val="32"/>
        </w:rPr>
        <w:t>“</w:t>
      </w:r>
      <w:r>
        <w:rPr>
          <w:rFonts w:ascii="Times New Roman" w:hAnsi="Times New Roman" w:cs="Times New Roman"/>
          <w:sz w:val="24"/>
          <w:szCs w:val="32"/>
        </w:rPr>
        <w:t>双一流</w:t>
      </w:r>
      <w:r>
        <w:rPr>
          <w:rFonts w:ascii="宋体" w:hAnsi="宋体" w:eastAsia="宋体" w:cs="宋体"/>
          <w:sz w:val="24"/>
          <w:szCs w:val="32"/>
        </w:rPr>
        <w:t>”</w:t>
      </w:r>
      <w:r>
        <w:rPr>
          <w:rFonts w:ascii="Times New Roman" w:hAnsi="Times New Roman" w:cs="Times New Roman"/>
          <w:sz w:val="24"/>
          <w:szCs w:val="32"/>
        </w:rPr>
        <w:t>建设学科，两次通过中国工程教育专业认证，2019年获批国家级一流本科专业建设点。</w:t>
      </w:r>
      <w:bookmarkStart w:id="0" w:name="OLE_LINK1"/>
    </w:p>
    <w:p>
      <w:pPr>
        <w:spacing w:line="360" w:lineRule="auto"/>
        <w:rPr>
          <w:rFonts w:ascii="Times New Roman" w:hAnsi="Times New Roman" w:cs="Times New Roman"/>
          <w:sz w:val="24"/>
          <w:szCs w:val="32"/>
        </w:rPr>
      </w:pPr>
      <w:r>
        <w:rPr>
          <w:rFonts w:ascii="Times New Roman" w:hAnsi="Times New Roman" w:cs="Times New Roman"/>
          <w:sz w:val="24"/>
          <w:szCs w:val="32"/>
        </w:rPr>
        <w:t>专业特色：以国家建设和社会需求为导向，培养德智体美劳全面发展、人文精神与科学素养统一、专业基础扎实、劳动实践能力强、具有创新精神、遵照工程伦理、适应未来社会发展和东南区域人才需求的具有一定的国际视野和跨文化背景下交流能力的化工类高素质工程技术人才，毕业后可在在化工、石油、能源、电子、材料、轻工、医药、环保、冶金、贸易等企业、研究机构、设计院所和管理部门从事生产管理、工程设计、技术开发、科学研究等工作。</w:t>
      </w:r>
    </w:p>
    <w:p>
      <w:pPr>
        <w:spacing w:line="360" w:lineRule="auto"/>
        <w:rPr>
          <w:rFonts w:ascii="Times New Roman" w:hAnsi="Times New Roman" w:cs="Times New Roman"/>
          <w:sz w:val="24"/>
          <w:szCs w:val="32"/>
        </w:rPr>
      </w:pPr>
      <w:r>
        <w:rPr>
          <w:rFonts w:ascii="Times New Roman" w:hAnsi="Times New Roman" w:cs="Times New Roman"/>
          <w:b/>
          <w:bCs/>
          <w:sz w:val="24"/>
          <w:szCs w:val="32"/>
        </w:rPr>
        <w:t>核心课程</w:t>
      </w:r>
      <w:r>
        <w:rPr>
          <w:rFonts w:ascii="Times New Roman" w:hAnsi="Times New Roman" w:cs="Times New Roman"/>
          <w:sz w:val="24"/>
          <w:szCs w:val="32"/>
        </w:rPr>
        <w:t>：高等数学、大学物理、化工原理、化工热力学、化工设计、无机化学、有机化学、物理化学、分析化学、化工设备机械基础、化学反应工程、化工分离过程</w:t>
      </w:r>
    </w:p>
    <w:p>
      <w:pPr>
        <w:spacing w:line="360" w:lineRule="auto"/>
        <w:rPr>
          <w:rFonts w:ascii="Times New Roman" w:hAnsi="Times New Roman" w:cs="Times New Roman"/>
          <w:color w:val="FF0000"/>
          <w:sz w:val="24"/>
          <w:szCs w:val="32"/>
        </w:rPr>
      </w:pPr>
      <w:r>
        <w:rPr>
          <w:rFonts w:ascii="Times New Roman" w:hAnsi="Times New Roman" w:cs="Times New Roman"/>
          <w:b/>
          <w:bCs/>
          <w:sz w:val="24"/>
          <w:szCs w:val="32"/>
        </w:rPr>
        <w:t>升学就业情况</w:t>
      </w:r>
      <w:r>
        <w:rPr>
          <w:rFonts w:ascii="Times New Roman" w:hAnsi="Times New Roman" w:cs="Times New Roman"/>
          <w:sz w:val="24"/>
          <w:szCs w:val="32"/>
        </w:rPr>
        <w:t>：</w:t>
      </w:r>
    </w:p>
    <w:p>
      <w:pPr>
        <w:spacing w:line="360" w:lineRule="auto"/>
        <w:rPr>
          <w:rFonts w:ascii="Times New Roman" w:hAnsi="Times New Roman" w:cs="Times New Roman"/>
          <w:sz w:val="24"/>
          <w:szCs w:val="32"/>
        </w:rPr>
      </w:pPr>
      <w:r>
        <w:rPr>
          <w:rFonts w:ascii="Times New Roman" w:hAnsi="Times New Roman" w:cs="Times New Roman"/>
          <w:sz w:val="24"/>
          <w:szCs w:val="32"/>
        </w:rPr>
        <w:t>就业单位示例：中石化、万华化学、福建能化、恒申集团、宁德新材料、比亚迪</w:t>
      </w:r>
    </w:p>
    <w:p>
      <w:pPr>
        <w:spacing w:line="360" w:lineRule="auto"/>
        <w:rPr>
          <w:rFonts w:ascii="Times New Roman" w:hAnsi="Times New Roman" w:cs="Times New Roman"/>
          <w:sz w:val="24"/>
          <w:szCs w:val="32"/>
        </w:rPr>
      </w:pPr>
      <w:r>
        <w:rPr>
          <w:rFonts w:ascii="Times New Roman" w:hAnsi="Times New Roman" w:cs="Times New Roman"/>
          <w:sz w:val="24"/>
          <w:szCs w:val="32"/>
        </w:rPr>
        <w:t>考研院校示例</w:t>
      </w:r>
      <w:bookmarkEnd w:id="0"/>
      <w:r>
        <w:rPr>
          <w:rFonts w:ascii="Times New Roman" w:hAnsi="Times New Roman" w:cs="Times New Roman"/>
          <w:sz w:val="24"/>
          <w:szCs w:val="32"/>
        </w:rPr>
        <w:t>：天津大学、大连理工大学、华东理工大学、华南理工大学、北京化工大学</w:t>
      </w:r>
    </w:p>
    <w:p>
      <w:pPr>
        <w:spacing w:line="360" w:lineRule="auto"/>
        <w:rPr>
          <w:rFonts w:ascii="Times New Roman" w:hAnsi="Times New Roman" w:cs="Times New Roman"/>
          <w:sz w:val="24"/>
          <w:szCs w:val="32"/>
        </w:rPr>
      </w:pPr>
    </w:p>
    <w:p>
      <w:pPr>
        <w:spacing w:line="360" w:lineRule="auto"/>
        <w:jc w:val="center"/>
        <w:rPr>
          <w:rFonts w:ascii="Times New Roman" w:hAnsi="Times New Roman" w:cs="Times New Roman"/>
          <w:sz w:val="24"/>
          <w:szCs w:val="32"/>
        </w:rPr>
      </w:pPr>
      <w:r>
        <w:rPr>
          <w:rFonts w:ascii="Times New Roman" w:hAnsi="Times New Roman" w:cs="Times New Roman"/>
          <w:sz w:val="24"/>
          <w:szCs w:val="32"/>
        </w:rPr>
        <w:drawing>
          <wp:inline distT="0" distB="0" distL="114300" distR="114300">
            <wp:extent cx="4581525" cy="2838450"/>
            <wp:effectExtent l="0" t="0" r="9525" b="0"/>
            <wp:docPr id="2" name="图片 2" descr="照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照片1"/>
                    <pic:cNvPicPr>
                      <a:picLocks noChangeAspect="1"/>
                    </pic:cNvPicPr>
                  </pic:nvPicPr>
                  <pic:blipFill>
                    <a:blip r:embed="rId6"/>
                    <a:stretch>
                      <a:fillRect/>
                    </a:stretch>
                  </pic:blipFill>
                  <pic:spPr>
                    <a:xfrm>
                      <a:off x="0" y="0"/>
                      <a:ext cx="4581525" cy="2838450"/>
                    </a:xfrm>
                    <a:prstGeom prst="rect">
                      <a:avLst/>
                    </a:prstGeom>
                  </pic:spPr>
                </pic:pic>
              </a:graphicData>
            </a:graphic>
          </wp:inline>
        </w:drawing>
      </w:r>
    </w:p>
    <w:p>
      <w:pPr>
        <w:spacing w:line="360" w:lineRule="auto"/>
        <w:jc w:val="center"/>
        <w:rPr>
          <w:rFonts w:ascii="Times New Roman" w:hAnsi="Times New Roman" w:cs="Times New Roman"/>
          <w:sz w:val="24"/>
          <w:szCs w:val="32"/>
        </w:rPr>
      </w:pPr>
      <w:r>
        <w:rPr>
          <w:rFonts w:ascii="Times New Roman" w:hAnsi="Times New Roman" w:cs="Times New Roman"/>
          <w:sz w:val="24"/>
          <w:szCs w:val="32"/>
        </w:rPr>
        <w:t>化工厂夜景图</w:t>
      </w:r>
    </w:p>
    <w:p>
      <w:pPr>
        <w:spacing w:line="360" w:lineRule="auto"/>
        <w:jc w:val="center"/>
        <w:rPr>
          <w:rFonts w:ascii="Times New Roman" w:hAnsi="Times New Roman" w:cs="Times New Roman"/>
          <w:sz w:val="24"/>
          <w:szCs w:val="32"/>
        </w:rPr>
      </w:pPr>
    </w:p>
    <w:p>
      <w:pPr>
        <w:spacing w:line="360" w:lineRule="auto"/>
        <w:jc w:val="center"/>
        <w:rPr>
          <w:rFonts w:ascii="Times New Roman" w:hAnsi="Times New Roman" w:cs="Times New Roman"/>
          <w:sz w:val="24"/>
          <w:szCs w:val="32"/>
        </w:rPr>
      </w:pPr>
      <w:r>
        <w:rPr>
          <w:rFonts w:ascii="Times New Roman" w:hAnsi="Times New Roman" w:cs="Times New Roman"/>
          <w:sz w:val="24"/>
          <w:szCs w:val="32"/>
        </w:rPr>
        <w:drawing>
          <wp:inline distT="0" distB="0" distL="114300" distR="114300">
            <wp:extent cx="4467225" cy="2505075"/>
            <wp:effectExtent l="0" t="0" r="9525" b="9525"/>
            <wp:docPr id="3" name="图片 3" descr="照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照片2"/>
                    <pic:cNvPicPr>
                      <a:picLocks noChangeAspect="1"/>
                    </pic:cNvPicPr>
                  </pic:nvPicPr>
                  <pic:blipFill>
                    <a:blip r:embed="rId7"/>
                    <a:stretch>
                      <a:fillRect/>
                    </a:stretch>
                  </pic:blipFill>
                  <pic:spPr>
                    <a:xfrm>
                      <a:off x="0" y="0"/>
                      <a:ext cx="4467225" cy="2505075"/>
                    </a:xfrm>
                    <a:prstGeom prst="rect">
                      <a:avLst/>
                    </a:prstGeom>
                  </pic:spPr>
                </pic:pic>
              </a:graphicData>
            </a:graphic>
          </wp:inline>
        </w:drawing>
      </w:r>
    </w:p>
    <w:p>
      <w:pPr>
        <w:spacing w:line="360" w:lineRule="auto"/>
        <w:jc w:val="center"/>
        <w:rPr>
          <w:rFonts w:ascii="Times New Roman" w:hAnsi="Times New Roman" w:cs="Times New Roman"/>
          <w:sz w:val="24"/>
          <w:szCs w:val="32"/>
        </w:rPr>
      </w:pPr>
      <w:r>
        <w:rPr>
          <w:rFonts w:ascii="Times New Roman" w:hAnsi="Times New Roman" w:cs="Times New Roman"/>
          <w:sz w:val="24"/>
          <w:szCs w:val="32"/>
        </w:rPr>
        <w:t>专业实验室图</w:t>
      </w:r>
    </w:p>
    <w:p>
      <w:pPr>
        <w:pStyle w:val="4"/>
        <w:spacing w:line="360" w:lineRule="auto"/>
        <w:jc w:val="center"/>
        <w:rPr>
          <w:rFonts w:ascii="Times New Roman" w:hAnsi="Times New Roman" w:cs="Times New Roman"/>
        </w:rPr>
      </w:pPr>
      <w:r>
        <w:rPr>
          <w:rFonts w:ascii="Times New Roman" w:hAnsi="Times New Roman" w:cs="Times New Roman"/>
        </w:rPr>
        <w:t>过程装备与控制工程专业</w:t>
      </w:r>
    </w:p>
    <w:p>
      <w:pPr>
        <w:spacing w:line="360" w:lineRule="auto"/>
        <w:rPr>
          <w:rFonts w:ascii="Times New Roman" w:hAnsi="Times New Roman" w:cs="Times New Roman"/>
          <w:sz w:val="24"/>
          <w:szCs w:val="32"/>
        </w:rPr>
      </w:pPr>
      <w:r>
        <w:rPr>
          <w:rFonts w:ascii="Times New Roman" w:hAnsi="Times New Roman" w:cs="Times New Roman"/>
          <w:b/>
          <w:bCs/>
          <w:sz w:val="24"/>
          <w:szCs w:val="32"/>
        </w:rPr>
        <w:t>学制</w:t>
      </w:r>
      <w:r>
        <w:rPr>
          <w:rFonts w:ascii="Times New Roman" w:hAnsi="Times New Roman" w:cs="Times New Roman"/>
          <w:sz w:val="24"/>
          <w:szCs w:val="32"/>
        </w:rPr>
        <w:t>：4年</w:t>
      </w:r>
      <w:r>
        <w:rPr>
          <w:rFonts w:hint="eastAsia" w:ascii="Times New Roman" w:hAnsi="Times New Roman" w:cs="Times New Roman"/>
          <w:sz w:val="24"/>
          <w:szCs w:val="32"/>
          <w:lang w:val="en-US" w:eastAsia="zh-CN"/>
        </w:rPr>
        <w:t xml:space="preserve">                                  </w:t>
      </w:r>
      <w:r>
        <w:rPr>
          <w:rFonts w:ascii="Times New Roman" w:hAnsi="Times New Roman" w:cs="Times New Roman"/>
          <w:b/>
          <w:bCs/>
          <w:sz w:val="24"/>
          <w:szCs w:val="32"/>
        </w:rPr>
        <w:t>学位授予门类</w:t>
      </w:r>
      <w:r>
        <w:rPr>
          <w:rFonts w:ascii="Times New Roman" w:hAnsi="Times New Roman" w:cs="Times New Roman"/>
          <w:sz w:val="24"/>
          <w:szCs w:val="32"/>
        </w:rPr>
        <w:t>：授予工学学士学位</w:t>
      </w:r>
    </w:p>
    <w:p>
      <w:pPr>
        <w:spacing w:line="360" w:lineRule="auto"/>
        <w:rPr>
          <w:rFonts w:ascii="Times New Roman" w:hAnsi="Times New Roman" w:cs="Times New Roman"/>
          <w:sz w:val="24"/>
          <w:szCs w:val="32"/>
        </w:rPr>
      </w:pPr>
      <w:r>
        <w:rPr>
          <w:rFonts w:ascii="Times New Roman" w:hAnsi="Times New Roman" w:cs="Times New Roman"/>
          <w:b/>
          <w:bCs/>
          <w:sz w:val="24"/>
          <w:szCs w:val="32"/>
        </w:rPr>
        <w:t>专业特色</w:t>
      </w:r>
      <w:r>
        <w:rPr>
          <w:rFonts w:ascii="Times New Roman" w:hAnsi="Times New Roman" w:cs="Times New Roman"/>
          <w:sz w:val="24"/>
          <w:szCs w:val="32"/>
        </w:rPr>
        <w:t>：过程装备与控制工程专业是福建省一流本科建设专业，学院是我省该专业的唯一办学单位，专业创建于1972年，办学历史悠久，办学力量雄厚，并于2022年通过教育部工程教育专业认证。该专业是一个由机械、能源、化工、材料、控制等多个大类学科交叉融合而成的专业，具有多学科综合、适应性广泛的特色。专业聚焦</w:t>
      </w:r>
      <w:r>
        <w:rPr>
          <w:rFonts w:hint="eastAsia" w:ascii="宋体" w:hAnsi="宋体" w:eastAsia="宋体" w:cs="宋体"/>
          <w:sz w:val="24"/>
          <w:szCs w:val="32"/>
        </w:rPr>
        <w:t>“</w:t>
      </w:r>
      <w:r>
        <w:rPr>
          <w:rFonts w:ascii="Times New Roman" w:hAnsi="Times New Roman" w:cs="Times New Roman"/>
          <w:sz w:val="24"/>
          <w:szCs w:val="32"/>
        </w:rPr>
        <w:t>双碳</w:t>
      </w:r>
      <w:r>
        <w:rPr>
          <w:rFonts w:ascii="宋体" w:hAnsi="宋体" w:eastAsia="宋体" w:cs="宋体"/>
          <w:sz w:val="24"/>
          <w:szCs w:val="32"/>
        </w:rPr>
        <w:t>”</w:t>
      </w:r>
      <w:r>
        <w:rPr>
          <w:rFonts w:ascii="Times New Roman" w:hAnsi="Times New Roman" w:cs="Times New Roman"/>
          <w:sz w:val="24"/>
          <w:szCs w:val="32"/>
        </w:rPr>
        <w:t>目标和智能技术发展战略，主要以能源、航空航天、石油化工、节能环保等国家重大产业为服务对象，致力于培养具备化学工程、机械工程、控制工程等交叉复合知识、能够从事高端装备研发、设计、制造和管理的卓越工程师和研究人员。学生毕业后可在国家及省市发展计划部门、质检部门、设计院、石化、核电、新能源、机械、航空航天等行业就业，就业面广，就业质量高。近年来，该专业不断加强特色专业建设，围绕国家和福建省的能源可持续发展需求，以核电、氨-氢能源等关键设备的安全研究为主线，重点开展包括装备结构优化、材料老化与损伤分析、设备完整性评估方法完善、适用性标准体系建设、可视化分析技术开发等研究，力图构建全面自主的能源装备安全评价体系，为实现我国能源装备的长寿命高可靠性服役、保障能源安全注入高校科研创新动能。</w:t>
      </w:r>
    </w:p>
    <w:p>
      <w:pPr>
        <w:spacing w:line="360" w:lineRule="auto"/>
        <w:rPr>
          <w:rFonts w:ascii="Times New Roman" w:hAnsi="Times New Roman" w:cs="Times New Roman"/>
          <w:sz w:val="24"/>
          <w:szCs w:val="32"/>
        </w:rPr>
      </w:pPr>
      <w:r>
        <w:rPr>
          <w:rFonts w:ascii="Times New Roman" w:hAnsi="Times New Roman" w:cs="Times New Roman"/>
          <w:b/>
          <w:bCs/>
          <w:sz w:val="24"/>
          <w:szCs w:val="32"/>
        </w:rPr>
        <w:t>核心课程</w:t>
      </w:r>
      <w:r>
        <w:rPr>
          <w:rFonts w:ascii="Times New Roman" w:hAnsi="Times New Roman" w:cs="Times New Roman"/>
          <w:sz w:val="24"/>
          <w:szCs w:val="32"/>
        </w:rPr>
        <w:t>：高等数学、大学物理、理论力学、材料力学、化工原理、工程热力学、工程流体力学、过程设备设计、过程流体机械</w:t>
      </w:r>
    </w:p>
    <w:p>
      <w:pPr>
        <w:spacing w:line="360" w:lineRule="auto"/>
        <w:rPr>
          <w:rFonts w:ascii="Times New Roman" w:hAnsi="Times New Roman" w:cs="Times New Roman"/>
          <w:color w:val="FF0000"/>
          <w:sz w:val="24"/>
          <w:szCs w:val="32"/>
        </w:rPr>
      </w:pPr>
      <w:r>
        <w:rPr>
          <w:rFonts w:ascii="Times New Roman" w:hAnsi="Times New Roman" w:cs="Times New Roman"/>
          <w:b/>
          <w:bCs/>
          <w:sz w:val="24"/>
          <w:szCs w:val="32"/>
        </w:rPr>
        <w:t>升学就业情况</w:t>
      </w:r>
      <w:r>
        <w:rPr>
          <w:rFonts w:ascii="Times New Roman" w:hAnsi="Times New Roman" w:cs="Times New Roman"/>
          <w:sz w:val="24"/>
          <w:szCs w:val="32"/>
        </w:rPr>
        <w:t>：</w:t>
      </w:r>
    </w:p>
    <w:p>
      <w:pPr>
        <w:spacing w:line="360" w:lineRule="auto"/>
        <w:rPr>
          <w:rFonts w:ascii="Times New Roman" w:hAnsi="Times New Roman" w:cs="Times New Roman"/>
          <w:sz w:val="24"/>
          <w:szCs w:val="32"/>
        </w:rPr>
      </w:pPr>
      <w:r>
        <w:rPr>
          <w:rFonts w:ascii="Times New Roman" w:hAnsi="Times New Roman" w:cs="Times New Roman"/>
          <w:sz w:val="24"/>
          <w:szCs w:val="32"/>
        </w:rPr>
        <w:t>就业单位示例：中石化、中化、中海油、中核集团、中广核集团、万华化学、福建能化、福建晋华、福建省特种设备检验研究院</w:t>
      </w:r>
    </w:p>
    <w:p>
      <w:pPr>
        <w:spacing w:line="360" w:lineRule="auto"/>
        <w:rPr>
          <w:rFonts w:ascii="Times New Roman" w:hAnsi="Times New Roman" w:cs="Times New Roman"/>
          <w:sz w:val="24"/>
          <w:szCs w:val="32"/>
        </w:rPr>
      </w:pPr>
      <w:r>
        <w:rPr>
          <w:rFonts w:ascii="Times New Roman" w:hAnsi="Times New Roman" w:cs="Times New Roman"/>
          <w:sz w:val="24"/>
          <w:szCs w:val="32"/>
        </w:rPr>
        <w:t>考研院校示例：浙江大学、西安交通大学、四川大学、大连理工大学、华南理工大学、华东理工大学</w:t>
      </w:r>
    </w:p>
    <w:p>
      <w:pPr>
        <w:spacing w:line="360" w:lineRule="auto"/>
        <w:rPr>
          <w:rFonts w:ascii="Times New Roman" w:hAnsi="Times New Roman" w:cs="Times New Roman"/>
          <w:sz w:val="24"/>
          <w:szCs w:val="32"/>
        </w:rPr>
      </w:pPr>
    </w:p>
    <w:p>
      <w:pPr>
        <w:spacing w:line="360" w:lineRule="auto"/>
        <w:jc w:val="center"/>
        <w:rPr>
          <w:rFonts w:ascii="Times New Roman" w:hAnsi="Times New Roman" w:cs="Times New Roman"/>
          <w:sz w:val="24"/>
          <w:szCs w:val="32"/>
        </w:rPr>
      </w:pPr>
      <w:r>
        <w:rPr>
          <w:rFonts w:ascii="Times New Roman" w:hAnsi="Times New Roman" w:cs="Times New Roman"/>
        </w:rPr>
        <w:drawing>
          <wp:inline distT="0" distB="0" distL="114300" distR="114300">
            <wp:extent cx="4319905" cy="2879090"/>
            <wp:effectExtent l="0" t="0" r="4445" b="1651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8"/>
                    <a:stretch>
                      <a:fillRect/>
                    </a:stretch>
                  </pic:blipFill>
                  <pic:spPr>
                    <a:xfrm>
                      <a:off x="0" y="0"/>
                      <a:ext cx="4319905" cy="2879090"/>
                    </a:xfrm>
                    <a:prstGeom prst="rect">
                      <a:avLst/>
                    </a:prstGeom>
                    <a:noFill/>
                    <a:ln>
                      <a:noFill/>
                    </a:ln>
                  </pic:spPr>
                </pic:pic>
              </a:graphicData>
            </a:graphic>
          </wp:inline>
        </w:drawing>
      </w:r>
    </w:p>
    <w:p>
      <w:pPr>
        <w:spacing w:line="360" w:lineRule="auto"/>
        <w:jc w:val="center"/>
        <w:rPr>
          <w:rFonts w:ascii="Times New Roman" w:hAnsi="Times New Roman" w:cs="Times New Roman"/>
          <w:b w:val="0"/>
          <w:bCs w:val="0"/>
        </w:rPr>
      </w:pPr>
      <w:r>
        <w:rPr>
          <w:rFonts w:ascii="Times New Roman" w:hAnsi="Times New Roman" w:cs="Times New Roman"/>
          <w:b w:val="0"/>
          <w:bCs w:val="0"/>
        </w:rPr>
        <w:t>石化企业成套过程装备</w:t>
      </w:r>
    </w:p>
    <w:p>
      <w:pPr>
        <w:spacing w:line="360" w:lineRule="auto"/>
        <w:jc w:val="center"/>
        <w:rPr>
          <w:rFonts w:ascii="Times New Roman" w:hAnsi="Times New Roman" w:cs="Times New Roman"/>
          <w:sz w:val="24"/>
          <w:szCs w:val="32"/>
        </w:rPr>
      </w:pPr>
      <w:r>
        <w:rPr>
          <w:rFonts w:ascii="Times New Roman" w:hAnsi="Times New Roman" w:cs="Times New Roman"/>
        </w:rPr>
        <w:drawing>
          <wp:inline distT="0" distB="0" distL="114300" distR="114300">
            <wp:extent cx="4319905" cy="2872105"/>
            <wp:effectExtent l="0" t="0" r="4445" b="444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9"/>
                    <a:stretch>
                      <a:fillRect/>
                    </a:stretch>
                  </pic:blipFill>
                  <pic:spPr>
                    <a:xfrm>
                      <a:off x="0" y="0"/>
                      <a:ext cx="4319905" cy="2872105"/>
                    </a:xfrm>
                    <a:prstGeom prst="rect">
                      <a:avLst/>
                    </a:prstGeom>
                    <a:noFill/>
                    <a:ln>
                      <a:noFill/>
                    </a:ln>
                  </pic:spPr>
                </pic:pic>
              </a:graphicData>
            </a:graphic>
          </wp:inline>
        </w:drawing>
      </w:r>
    </w:p>
    <w:p>
      <w:pPr>
        <w:spacing w:line="360" w:lineRule="auto"/>
        <w:jc w:val="center"/>
        <w:rPr>
          <w:rFonts w:ascii="Times New Roman" w:hAnsi="Times New Roman" w:cs="Times New Roman"/>
          <w:b/>
          <w:bCs/>
        </w:rPr>
      </w:pPr>
      <w:r>
        <w:rPr>
          <w:rFonts w:ascii="Times New Roman" w:hAnsi="Times New Roman" w:cs="Times New Roman"/>
          <w:b w:val="0"/>
          <w:bCs w:val="0"/>
        </w:rPr>
        <w:t>石化企业智能化控制室</w:t>
      </w:r>
    </w:p>
    <w:p>
      <w:pPr>
        <w:spacing w:line="360" w:lineRule="auto"/>
        <w:rPr>
          <w:rFonts w:ascii="Times New Roman" w:hAnsi="Times New Roman" w:cs="Times New Roman"/>
          <w:sz w:val="24"/>
          <w:szCs w:val="32"/>
        </w:rPr>
      </w:pPr>
    </w:p>
    <w:p>
      <w:pPr>
        <w:spacing w:line="360" w:lineRule="auto"/>
        <w:rPr>
          <w:rFonts w:ascii="Times New Roman" w:hAnsi="Times New Roman" w:cs="Times New Roman"/>
        </w:rPr>
      </w:pPr>
    </w:p>
    <w:p>
      <w:pPr>
        <w:spacing w:line="360" w:lineRule="auto"/>
        <w:rPr>
          <w:rFonts w:ascii="Times New Roman" w:hAnsi="Times New Roman" w:cs="Times New Roman"/>
        </w:rPr>
      </w:pPr>
    </w:p>
    <w:p>
      <w:pPr>
        <w:spacing w:line="360" w:lineRule="auto"/>
        <w:rPr>
          <w:rFonts w:ascii="Times New Roman" w:hAnsi="Times New Roman" w:cs="Times New Roman"/>
        </w:rPr>
      </w:pPr>
    </w:p>
    <w:p>
      <w:pPr>
        <w:spacing w:line="360" w:lineRule="auto"/>
        <w:rPr>
          <w:rFonts w:ascii="Times New Roman" w:hAnsi="Times New Roman" w:cs="Times New Roman"/>
        </w:rPr>
      </w:pPr>
    </w:p>
    <w:p>
      <w:pPr>
        <w:pStyle w:val="4"/>
        <w:spacing w:line="240" w:lineRule="auto"/>
        <w:jc w:val="center"/>
        <w:rPr>
          <w:rFonts w:ascii="Times New Roman" w:hAnsi="Times New Roman" w:eastAsia="宋体"/>
        </w:rPr>
      </w:pPr>
      <w:r>
        <w:rPr>
          <w:rFonts w:hint="eastAsia" w:ascii="Times New Roman" w:hAnsi="Times New Roman" w:eastAsia="宋体"/>
          <w:lang w:val="en-US" w:eastAsia="zh-CN"/>
        </w:rPr>
        <w:t>油气储运工程</w:t>
      </w:r>
      <w:r>
        <w:rPr>
          <w:rFonts w:hint="eastAsia" w:ascii="Times New Roman" w:hAnsi="Times New Roman" w:eastAsia="宋体"/>
        </w:rPr>
        <w:t>专业</w:t>
      </w:r>
    </w:p>
    <w:p>
      <w:pPr>
        <w:spacing w:line="360" w:lineRule="auto"/>
        <w:rPr>
          <w:sz w:val="24"/>
          <w:szCs w:val="32"/>
        </w:rPr>
      </w:pPr>
      <w:r>
        <w:rPr>
          <w:rFonts w:hint="eastAsia"/>
          <w:b/>
          <w:bCs/>
          <w:sz w:val="24"/>
          <w:szCs w:val="32"/>
        </w:rPr>
        <w:t>学制</w:t>
      </w:r>
      <w:r>
        <w:rPr>
          <w:rFonts w:hint="eastAsia"/>
          <w:sz w:val="24"/>
          <w:szCs w:val="32"/>
        </w:rPr>
        <w:t>：4年</w:t>
      </w:r>
      <w:r>
        <w:rPr>
          <w:rFonts w:hint="eastAsia"/>
          <w:sz w:val="24"/>
          <w:szCs w:val="32"/>
          <w:lang w:val="en-US" w:eastAsia="zh-CN"/>
        </w:rPr>
        <w:t xml:space="preserve">         </w:t>
      </w:r>
      <w:r>
        <w:rPr>
          <w:rFonts w:hint="eastAsia"/>
          <w:b/>
          <w:bCs/>
          <w:sz w:val="24"/>
          <w:szCs w:val="32"/>
          <w:lang w:val="en-US" w:eastAsia="zh-CN"/>
        </w:rPr>
        <w:t xml:space="preserve">                         </w:t>
      </w:r>
      <w:r>
        <w:rPr>
          <w:rFonts w:hint="eastAsia"/>
          <w:b/>
          <w:bCs/>
          <w:sz w:val="24"/>
          <w:szCs w:val="32"/>
        </w:rPr>
        <w:t>学位授予门类</w:t>
      </w:r>
      <w:r>
        <w:rPr>
          <w:rFonts w:hint="eastAsia"/>
          <w:sz w:val="24"/>
          <w:szCs w:val="32"/>
        </w:rPr>
        <w:t>：授予工学学士学位</w:t>
      </w:r>
    </w:p>
    <w:p>
      <w:pPr>
        <w:spacing w:line="360" w:lineRule="auto"/>
        <w:rPr>
          <w:rFonts w:hint="eastAsia"/>
          <w:sz w:val="24"/>
          <w:szCs w:val="32"/>
        </w:rPr>
      </w:pPr>
      <w:r>
        <w:rPr>
          <w:rFonts w:hint="eastAsia"/>
          <w:b/>
          <w:bCs/>
          <w:sz w:val="24"/>
          <w:szCs w:val="32"/>
          <w:shd w:val="clear" w:color="auto" w:fill="auto"/>
        </w:rPr>
        <w:t>专业荣誉</w:t>
      </w:r>
      <w:r>
        <w:rPr>
          <w:rFonts w:hint="eastAsia"/>
          <w:sz w:val="24"/>
          <w:szCs w:val="32"/>
          <w:shd w:val="clear" w:color="auto" w:fill="auto"/>
        </w:rPr>
        <w:t>：</w:t>
      </w:r>
      <w:r>
        <w:rPr>
          <w:rFonts w:hint="eastAsia"/>
          <w:sz w:val="24"/>
          <w:szCs w:val="32"/>
          <w:lang w:val="en-US" w:eastAsia="zh-CN"/>
        </w:rPr>
        <w:t>油气储运工程</w:t>
      </w:r>
      <w:r>
        <w:rPr>
          <w:rFonts w:hint="eastAsia"/>
          <w:sz w:val="24"/>
          <w:szCs w:val="32"/>
        </w:rPr>
        <w:t>专业依托“化学科学与工程”学科群入选国家首批世界一流学科建设计划，属于国家“211工程”重点建设学科，福州大学“双一流”建设学科。</w:t>
      </w:r>
    </w:p>
    <w:p>
      <w:pPr>
        <w:spacing w:line="360" w:lineRule="auto"/>
        <w:rPr>
          <w:rFonts w:hint="eastAsia"/>
          <w:sz w:val="24"/>
          <w:szCs w:val="32"/>
        </w:rPr>
      </w:pPr>
      <w:r>
        <w:rPr>
          <w:rFonts w:hint="eastAsia"/>
          <w:b/>
          <w:bCs/>
          <w:sz w:val="24"/>
          <w:szCs w:val="32"/>
        </w:rPr>
        <w:t>专业特色</w:t>
      </w:r>
      <w:r>
        <w:rPr>
          <w:rFonts w:hint="eastAsia"/>
          <w:sz w:val="24"/>
          <w:szCs w:val="32"/>
        </w:rPr>
        <w:t>：油气储运工程（能源储运工程）是国家及福建省急需专业，以新能源储存和输送技术为特色，以储运智能化技术为支撑，是连接能源生产、加工、输送、销售诸环节的纽带，是现代化社会能源流通的主要渠道。福州大学储运专业围绕油气及新能源“储-运-用-安全”产业链，培养学生专业基础和广泛的实践能力。毕业生具备应用现代信息技术、新材料、新方法解决实际工程问题的能力，可在国家与省、市的发展计划、应急管理、海关等部门服务，也能在管网、新能源、油气、化工、航空、交通、军队等系统中从事与能源储运相关的规划、设计、施工和管理等工作。</w:t>
      </w:r>
    </w:p>
    <w:p>
      <w:pPr>
        <w:spacing w:line="360" w:lineRule="auto"/>
        <w:rPr>
          <w:rFonts w:hint="default"/>
          <w:sz w:val="24"/>
          <w:szCs w:val="32"/>
          <w:lang w:val="en-US" w:eastAsia="zh-CN"/>
        </w:rPr>
      </w:pPr>
      <w:r>
        <w:rPr>
          <w:rFonts w:hint="eastAsia"/>
          <w:b/>
          <w:bCs/>
          <w:sz w:val="24"/>
          <w:szCs w:val="32"/>
        </w:rPr>
        <w:t>核心课程</w:t>
      </w:r>
      <w:r>
        <w:rPr>
          <w:rFonts w:hint="eastAsia"/>
          <w:sz w:val="24"/>
          <w:szCs w:val="32"/>
        </w:rPr>
        <w:t>：高等数学、大学物理、</w:t>
      </w:r>
      <w:r>
        <w:rPr>
          <w:rFonts w:hint="eastAsia"/>
          <w:sz w:val="24"/>
          <w:szCs w:val="32"/>
          <w:lang w:val="en-US" w:eastAsia="zh-CN"/>
        </w:rPr>
        <w:t>流体力学、传热学、工程热力学、工程力学、输油管道设计与管理、输气管道设计与管理、油库设计与管理、液化天然气技术、燃气输配、油罐及管道强度设计。</w:t>
      </w:r>
    </w:p>
    <w:p>
      <w:pPr>
        <w:spacing w:line="360" w:lineRule="auto"/>
        <w:rPr>
          <w:color w:val="FF0000"/>
          <w:sz w:val="24"/>
          <w:szCs w:val="32"/>
        </w:rPr>
      </w:pPr>
      <w:r>
        <w:rPr>
          <w:rFonts w:hint="eastAsia"/>
          <w:b/>
          <w:bCs/>
          <w:sz w:val="24"/>
          <w:szCs w:val="32"/>
        </w:rPr>
        <w:t>升学就业情况</w:t>
      </w:r>
      <w:r>
        <w:rPr>
          <w:rFonts w:hint="eastAsia"/>
          <w:sz w:val="24"/>
          <w:szCs w:val="32"/>
        </w:rPr>
        <w:t>：</w:t>
      </w:r>
    </w:p>
    <w:p>
      <w:pPr>
        <w:spacing w:line="360" w:lineRule="auto"/>
        <w:rPr>
          <w:rFonts w:hint="default"/>
          <w:sz w:val="24"/>
          <w:szCs w:val="32"/>
          <w:lang w:val="en-US"/>
        </w:rPr>
      </w:pPr>
      <w:r>
        <w:rPr>
          <w:rFonts w:hint="eastAsia"/>
          <w:sz w:val="24"/>
          <w:szCs w:val="32"/>
        </w:rPr>
        <w:t>就业单位示例：</w:t>
      </w:r>
      <w:r>
        <w:rPr>
          <w:rFonts w:hint="eastAsia"/>
          <w:sz w:val="24"/>
          <w:szCs w:val="32"/>
          <w:lang w:eastAsia="zh-CN"/>
        </w:rPr>
        <w:t>国家管网、</w:t>
      </w:r>
      <w:r>
        <w:rPr>
          <w:rFonts w:hint="eastAsia"/>
          <w:sz w:val="24"/>
          <w:szCs w:val="32"/>
          <w:lang w:val="en-US" w:eastAsia="zh-CN"/>
        </w:rPr>
        <w:t>中石油、中海油、中石化、华润燃气、万华化学、福建能化集团</w:t>
      </w:r>
    </w:p>
    <w:p>
      <w:pPr>
        <w:spacing w:line="360" w:lineRule="auto"/>
        <w:rPr>
          <w:rFonts w:hint="default"/>
          <w:sz w:val="24"/>
          <w:szCs w:val="32"/>
          <w:lang w:val="en-US"/>
        </w:rPr>
      </w:pPr>
      <w:r>
        <w:rPr>
          <w:rFonts w:hint="eastAsia"/>
          <w:sz w:val="24"/>
          <w:szCs w:val="32"/>
        </w:rPr>
        <w:t>考研院校示例：</w:t>
      </w:r>
      <w:r>
        <w:rPr>
          <w:rFonts w:hint="eastAsia"/>
          <w:sz w:val="24"/>
          <w:szCs w:val="32"/>
          <w:lang w:val="en-US" w:eastAsia="zh-CN"/>
        </w:rPr>
        <w:t>新加坡国立大学、西安交通大学、北京理工大学、厦门大学、中国石油大学、福州大学</w:t>
      </w:r>
    </w:p>
    <w:p>
      <w:pPr>
        <w:spacing w:line="360" w:lineRule="auto"/>
        <w:jc w:val="center"/>
        <w:rPr>
          <w:sz w:val="24"/>
          <w:szCs w:val="32"/>
        </w:rPr>
      </w:pPr>
      <w:r>
        <w:drawing>
          <wp:inline distT="0" distB="0" distL="0" distR="0">
            <wp:extent cx="5276850" cy="4146550"/>
            <wp:effectExtent l="0" t="0" r="0" b="6350"/>
            <wp:docPr id="1031" name="图片 1"/>
            <wp:cNvGraphicFramePr/>
            <a:graphic xmlns:a="http://schemas.openxmlformats.org/drawingml/2006/main">
              <a:graphicData uri="http://schemas.openxmlformats.org/drawingml/2006/picture">
                <pic:pic xmlns:pic="http://schemas.openxmlformats.org/drawingml/2006/picture">
                  <pic:nvPicPr>
                    <pic:cNvPr id="1031" name="图片 1"/>
                    <pic:cNvPicPr/>
                  </pic:nvPicPr>
                  <pic:blipFill>
                    <a:blip r:embed="rId10" cstate="print"/>
                    <a:srcRect/>
                    <a:stretch>
                      <a:fillRect/>
                    </a:stretch>
                  </pic:blipFill>
                  <pic:spPr>
                    <a:xfrm>
                      <a:off x="0" y="0"/>
                      <a:ext cx="5276850" cy="4146550"/>
                    </a:xfrm>
                    <a:prstGeom prst="rect">
                      <a:avLst/>
                    </a:prstGeom>
                    <a:ln>
                      <a:noFill/>
                    </a:ln>
                  </pic:spPr>
                </pic:pic>
              </a:graphicData>
            </a:graphic>
          </wp:inline>
        </w:drawing>
      </w:r>
    </w:p>
    <w:p>
      <w:pPr>
        <w:spacing w:line="360" w:lineRule="auto"/>
        <w:jc w:val="center"/>
        <w:rPr>
          <w:sz w:val="24"/>
          <w:szCs w:val="32"/>
        </w:rPr>
      </w:pPr>
      <w:r>
        <w:rPr>
          <w:rFonts w:hint="eastAsia"/>
          <w:sz w:val="24"/>
          <w:szCs w:val="32"/>
        </w:rPr>
        <w:t>国家能源战略通道及主干管网示意图</w:t>
      </w:r>
    </w:p>
    <w:p>
      <w:pPr>
        <w:spacing w:line="360" w:lineRule="auto"/>
        <w:jc w:val="center"/>
        <w:rPr>
          <w:highlight w:val="none"/>
        </w:rPr>
      </w:pPr>
      <w:r>
        <w:rPr>
          <w:highlight w:val="none"/>
        </w:rPr>
        <w:drawing>
          <wp:inline distT="0" distB="0" distL="0" distR="0">
            <wp:extent cx="4643755" cy="3179445"/>
            <wp:effectExtent l="0" t="0" r="4445" b="1905"/>
            <wp:docPr id="1032" name="图片 1" descr="进军氢能源领域博世将开发氢电解部件-Hi智车"/>
            <wp:cNvGraphicFramePr/>
            <a:graphic xmlns:a="http://schemas.openxmlformats.org/drawingml/2006/main">
              <a:graphicData uri="http://schemas.openxmlformats.org/drawingml/2006/picture">
                <pic:pic xmlns:pic="http://schemas.openxmlformats.org/drawingml/2006/picture">
                  <pic:nvPicPr>
                    <pic:cNvPr id="1032" name="图片 1" descr="进军氢能源领域博世将开发氢电解部件-Hi智车"/>
                    <pic:cNvPicPr/>
                  </pic:nvPicPr>
                  <pic:blipFill>
                    <a:blip r:embed="rId11" cstate="print"/>
                    <a:srcRect/>
                    <a:stretch>
                      <a:fillRect/>
                    </a:stretch>
                  </pic:blipFill>
                  <pic:spPr>
                    <a:xfrm>
                      <a:off x="0" y="0"/>
                      <a:ext cx="4643755" cy="3179445"/>
                    </a:xfrm>
                    <a:prstGeom prst="rect">
                      <a:avLst/>
                    </a:prstGeom>
                    <a:ln>
                      <a:noFill/>
                    </a:ln>
                  </pic:spPr>
                </pic:pic>
              </a:graphicData>
            </a:graphic>
          </wp:inline>
        </w:drawing>
      </w:r>
    </w:p>
    <w:p>
      <w:pPr>
        <w:spacing w:line="360" w:lineRule="auto"/>
        <w:jc w:val="center"/>
        <w:rPr>
          <w:rFonts w:hint="default" w:eastAsia="宋体"/>
          <w:sz w:val="24"/>
          <w:szCs w:val="32"/>
          <w:lang w:val="en-US" w:eastAsia="zh-CN"/>
        </w:rPr>
      </w:pPr>
      <w:r>
        <w:rPr>
          <w:rFonts w:hint="eastAsia"/>
          <w:sz w:val="24"/>
          <w:szCs w:val="32"/>
          <w:lang w:val="en-US" w:eastAsia="zh-CN"/>
        </w:rPr>
        <w:t>以新能源储运为特色</w:t>
      </w:r>
    </w:p>
    <w:p/>
    <w:p>
      <w:pPr>
        <w:spacing w:line="360" w:lineRule="auto"/>
        <w:rPr>
          <w:rFonts w:ascii="Times New Roman" w:hAnsi="Times New Roman" w:cs="Times New Roman"/>
        </w:rPr>
      </w:pPr>
    </w:p>
    <w:p>
      <w:pPr>
        <w:spacing w:line="360" w:lineRule="auto"/>
        <w:rPr>
          <w:rFonts w:ascii="Times New Roman" w:hAnsi="Times New Roman" w:eastAsia="宋体" w:cs="Times New Roman"/>
          <w:sz w:val="24"/>
        </w:rPr>
      </w:pPr>
    </w:p>
    <w:p>
      <w:pPr>
        <w:spacing w:line="360" w:lineRule="auto"/>
        <w:jc w:val="center"/>
        <w:rPr>
          <w:rFonts w:ascii="Times New Roman" w:hAnsi="Times New Roman" w:eastAsia="宋体" w:cs="Times New Roman"/>
          <w:b/>
          <w:sz w:val="24"/>
        </w:rPr>
      </w:pPr>
      <w:r>
        <w:rPr>
          <w:rFonts w:ascii="Times New Roman" w:hAnsi="Times New Roman" w:eastAsia="宋体" w:cs="Times New Roman"/>
          <w:b/>
          <w:sz w:val="24"/>
        </w:rPr>
        <w:t>化工学院咨询方式</w:t>
      </w:r>
    </w:p>
    <w:p>
      <w:pPr>
        <w:spacing w:line="360" w:lineRule="auto"/>
        <w:rPr>
          <w:rFonts w:ascii="Times New Roman" w:hAnsi="Times New Roman" w:eastAsia="宋体" w:cs="Times New Roman"/>
          <w:sz w:val="24"/>
          <w:szCs w:val="32"/>
        </w:rPr>
      </w:pPr>
      <w:r>
        <w:rPr>
          <w:rFonts w:ascii="Times New Roman" w:hAnsi="Times New Roman" w:eastAsia="宋体" w:cs="Times New Roman"/>
          <w:b/>
          <w:bCs/>
          <w:sz w:val="24"/>
          <w:szCs w:val="32"/>
        </w:rPr>
        <w:t>考生咨询QQ群号</w:t>
      </w:r>
      <w:r>
        <w:rPr>
          <w:rFonts w:ascii="Times New Roman" w:hAnsi="Times New Roman" w:eastAsia="宋体" w:cs="Times New Roman"/>
          <w:b w:val="0"/>
          <w:bCs w:val="0"/>
          <w:sz w:val="24"/>
          <w:szCs w:val="32"/>
        </w:rPr>
        <w:t>：</w:t>
      </w:r>
      <w:r>
        <w:rPr>
          <w:rFonts w:ascii="Times New Roman" w:hAnsi="Times New Roman" w:eastAsia="宋体" w:cs="Times New Roman"/>
          <w:sz w:val="24"/>
          <w:szCs w:val="32"/>
        </w:rPr>
        <w:t>577690394</w:t>
      </w:r>
    </w:p>
    <w:p>
      <w:pPr>
        <w:spacing w:line="360" w:lineRule="auto"/>
        <w:rPr>
          <w:rFonts w:ascii="Times New Roman" w:hAnsi="Times New Roman" w:eastAsia="宋体" w:cs="Times New Roman"/>
          <w:b w:val="0"/>
          <w:bCs w:val="0"/>
          <w:sz w:val="24"/>
          <w:szCs w:val="32"/>
        </w:rPr>
      </w:pPr>
      <w:r>
        <w:rPr>
          <w:rFonts w:ascii="Times New Roman" w:hAnsi="Times New Roman" w:eastAsia="宋体" w:cs="Times New Roman"/>
          <w:b/>
          <w:bCs/>
          <w:sz w:val="24"/>
          <w:szCs w:val="32"/>
        </w:rPr>
        <w:t>考生咨询电话</w:t>
      </w:r>
      <w:r>
        <w:rPr>
          <w:rFonts w:ascii="Times New Roman" w:hAnsi="Times New Roman" w:eastAsia="宋体" w:cs="Times New Roman"/>
          <w:b w:val="0"/>
          <w:bCs w:val="0"/>
          <w:sz w:val="24"/>
          <w:szCs w:val="32"/>
        </w:rPr>
        <w:t>：0591-22865228</w:t>
      </w:r>
    </w:p>
    <w:p>
      <w:pPr>
        <w:spacing w:line="360" w:lineRule="auto"/>
        <w:rPr>
          <w:rFonts w:ascii="Times New Roman" w:hAnsi="Times New Roman" w:eastAsia="宋体" w:cs="Times New Roman"/>
          <w:b w:val="0"/>
          <w:bCs w:val="0"/>
          <w:sz w:val="24"/>
          <w:szCs w:val="32"/>
        </w:rPr>
      </w:pPr>
      <w:r>
        <w:rPr>
          <w:rFonts w:ascii="Times New Roman" w:hAnsi="Times New Roman" w:eastAsia="宋体" w:cs="Times New Roman"/>
          <w:b/>
          <w:bCs/>
          <w:sz w:val="24"/>
          <w:szCs w:val="32"/>
        </w:rPr>
        <w:t>学院网址</w:t>
      </w:r>
      <w:r>
        <w:rPr>
          <w:rFonts w:ascii="Times New Roman" w:hAnsi="Times New Roman" w:eastAsia="宋体" w:cs="Times New Roman"/>
          <w:b w:val="0"/>
          <w:bCs w:val="0"/>
          <w:sz w:val="24"/>
          <w:szCs w:val="32"/>
        </w:rPr>
        <w:t>：https://che.fzu.edu.cn/</w:t>
      </w:r>
    </w:p>
    <w:p>
      <w:pPr>
        <w:spacing w:line="360" w:lineRule="auto"/>
        <w:rPr>
          <w:rFonts w:ascii="Times New Roman" w:hAnsi="Times New Roman" w:eastAsia="宋体" w:cs="Times New Roman"/>
          <w:b w:val="0"/>
          <w:bCs w:val="0"/>
          <w:sz w:val="24"/>
          <w:szCs w:val="32"/>
        </w:rPr>
      </w:pPr>
      <w:r>
        <w:rPr>
          <w:rFonts w:ascii="Times New Roman" w:hAnsi="Times New Roman" w:eastAsia="宋体" w:cs="Times New Roman"/>
          <w:b/>
          <w:bCs/>
          <w:sz w:val="24"/>
          <w:szCs w:val="32"/>
        </w:rPr>
        <w:t>学院公众号名称</w:t>
      </w:r>
      <w:r>
        <w:rPr>
          <w:rFonts w:ascii="Times New Roman" w:hAnsi="Times New Roman" w:eastAsia="宋体" w:cs="Times New Roman"/>
          <w:b w:val="0"/>
          <w:bCs w:val="0"/>
          <w:sz w:val="24"/>
          <w:szCs w:val="32"/>
        </w:rPr>
        <w:t>：福州大学化工学院</w:t>
      </w:r>
    </w:p>
    <w:sectPr>
      <w:pgSz w:w="11906" w:h="16838"/>
      <w:pgMar w:top="1213" w:right="1576" w:bottom="1213" w:left="1576"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M3MTU0NzkyNGRlN2VkY2JlYjE2Y2M1MThiNDM1Y2IifQ=="/>
  </w:docVars>
  <w:rsids>
    <w:rsidRoot w:val="43753571"/>
    <w:rsid w:val="0063746A"/>
    <w:rsid w:val="008B4E99"/>
    <w:rsid w:val="00BE2C94"/>
    <w:rsid w:val="00D140D8"/>
    <w:rsid w:val="00DF2AF2"/>
    <w:rsid w:val="00F27B22"/>
    <w:rsid w:val="088F793A"/>
    <w:rsid w:val="0C8A7365"/>
    <w:rsid w:val="20D17AE7"/>
    <w:rsid w:val="24210709"/>
    <w:rsid w:val="261F7E05"/>
    <w:rsid w:val="284317F4"/>
    <w:rsid w:val="31711C8E"/>
    <w:rsid w:val="33B40C9E"/>
    <w:rsid w:val="36FB09A6"/>
    <w:rsid w:val="389A582F"/>
    <w:rsid w:val="3EBF2436"/>
    <w:rsid w:val="43753571"/>
    <w:rsid w:val="43F70FFF"/>
    <w:rsid w:val="460C4485"/>
    <w:rsid w:val="478032E1"/>
    <w:rsid w:val="4D8434E9"/>
    <w:rsid w:val="517B7E41"/>
    <w:rsid w:val="53F058C2"/>
    <w:rsid w:val="5E201FFC"/>
    <w:rsid w:val="692D136D"/>
    <w:rsid w:val="7A1B10A9"/>
    <w:rsid w:val="7DCC56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semiHidden="0" w:name="heading 4"/>
    <w:lsdException w:qFormat="1" w:uiPriority="0" w:semiHidden="0" w:name="heading 5"/>
    <w:lsdException w:qFormat="1"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4"/>
    <w:basedOn w:val="1"/>
    <w:next w:val="1"/>
    <w:unhideWhenUsed/>
    <w:qFormat/>
    <w:uiPriority w:val="0"/>
    <w:pPr>
      <w:keepNext/>
      <w:keepLines/>
      <w:spacing w:before="280" w:after="290" w:line="372" w:lineRule="auto"/>
      <w:outlineLvl w:val="3"/>
    </w:pPr>
    <w:rPr>
      <w:rFonts w:ascii="Arial" w:hAnsi="Arial" w:eastAsia="黑体"/>
      <w:b/>
      <w:sz w:val="28"/>
    </w:rPr>
  </w:style>
  <w:style w:type="paragraph" w:styleId="3">
    <w:name w:val="heading 5"/>
    <w:basedOn w:val="1"/>
    <w:next w:val="1"/>
    <w:unhideWhenUsed/>
    <w:qFormat/>
    <w:uiPriority w:val="0"/>
    <w:pPr>
      <w:keepNext/>
      <w:keepLines/>
      <w:spacing w:before="280" w:after="290" w:line="372" w:lineRule="auto"/>
      <w:outlineLvl w:val="4"/>
    </w:pPr>
    <w:rPr>
      <w:b/>
      <w:sz w:val="28"/>
    </w:rPr>
  </w:style>
  <w:style w:type="paragraph" w:styleId="4">
    <w:name w:val="heading 6"/>
    <w:basedOn w:val="1"/>
    <w:next w:val="1"/>
    <w:unhideWhenUsed/>
    <w:qFormat/>
    <w:uiPriority w:val="0"/>
    <w:pPr>
      <w:keepNext/>
      <w:keepLines/>
      <w:spacing w:before="240" w:after="64" w:line="317" w:lineRule="auto"/>
      <w:outlineLvl w:val="5"/>
    </w:pPr>
    <w:rPr>
      <w:rFonts w:ascii="Arial" w:hAnsi="Arial" w:eastAsia="黑体"/>
      <w:b/>
      <w:sz w:val="24"/>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qFormat/>
    <w:uiPriority w:val="0"/>
    <w:pPr>
      <w:jc w:val="left"/>
    </w:pPr>
  </w:style>
  <w:style w:type="paragraph" w:styleId="6">
    <w:name w:val="Normal (Web)"/>
    <w:basedOn w:val="1"/>
    <w:qFormat/>
    <w:uiPriority w:val="0"/>
    <w:pPr>
      <w:spacing w:beforeAutospacing="1" w:afterAutospacing="1"/>
      <w:jc w:val="left"/>
    </w:pPr>
    <w:rPr>
      <w:rFonts w:cs="Times New Roman"/>
      <w:kern w:val="0"/>
      <w:sz w:val="24"/>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annotation reference"/>
    <w:basedOn w:val="9"/>
    <w:qFormat/>
    <w:uiPriority w:val="0"/>
    <w:rPr>
      <w:sz w:val="21"/>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3121</Words>
  <Characters>3217</Characters>
  <Lines>21</Lines>
  <Paragraphs>6</Paragraphs>
  <TotalTime>12</TotalTime>
  <ScaleCrop>false</ScaleCrop>
  <LinksUpToDate>false</LinksUpToDate>
  <CharactersWithSpaces>3242</CharactersWithSpaces>
  <Application>WPS Office_12.1.0.15990_F1E327BC-269C-435d-A152-05C5408002CA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2025-03-04T07:23:00Z</dcterms:created>
  <dc:creator>糖卷儿</dc:creator>
  <cp:lastModifiedBy>王广明</cp:lastModifiedBy>
  <cp:lastPrinted>2025-03-04T08:08:00Z</cp:lastPrinted>
  <dcterms:modified xsi:type="dcterms:W3CDTF">2025-03-26T01:11:23Z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3C7DC9E39AE4459598A7B9E5E1EB8453_13</vt:lpwstr>
  </property>
  <property fmtid="{D5CDD505-2E9C-101B-9397-08002B2CF9AE}" pid="4" name="KSOTemplateDocerSaveRecord">
    <vt:lpwstr>eyJoZGlkIjoiMDhkNzVlYTRkN2ZlNDMxNzE4NDRlN2E5MDVkZTJmNjAiLCJ1c2VySWQiOiI3NzU0MzAzMDgifQ==</vt:lpwstr>
  </property>
</Properties>
</file>