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hint="eastAsia" w:ascii="方正小标宋简体" w:eastAsia="方正小标宋简体" w:hAnsiTheme="majorEastAsia" w:cstheme="majorEastAsia"/>
          <w:bCs/>
          <w:sz w:val="44"/>
          <w:szCs w:val="44"/>
        </w:rPr>
      </w:pPr>
      <w:r>
        <w:rPr>
          <w:rFonts w:hint="eastAsia" w:ascii="方正小标宋简体" w:eastAsia="方正小标宋简体" w:hAnsiTheme="majorEastAsia" w:cstheme="majorEastAsia"/>
          <w:bCs/>
          <w:sz w:val="44"/>
          <w:szCs w:val="44"/>
        </w:rPr>
        <w:pict>
          <v:shape id="_x0000_s2054" o:spid="_x0000_s2054" o:spt="202" type="#_x0000_t202" style="position:absolute;left:0pt;margin-left:371.95pt;margin-top:19.6pt;height:81.75pt;width:97.5pt;z-index:251657216;mso-width-relative:page;mso-height-relative:page;" stroked="f" coordsize="21600,21600">
            <v:path/>
            <v:fill focussize="0,0"/>
            <v:stroke on="f" joinstyle="miter"/>
            <v:imagedata o:title=""/>
            <o:lock v:ext="edit"/>
            <v:textbox>
              <w:txbxContent>
                <w:p>
                  <w:pPr>
                    <w:snapToGrid w:val="0"/>
                    <w:rPr>
                      <w:rFonts w:ascii="方正小标宋简体" w:eastAsia="方正小标宋简体"/>
                      <w:color w:val="FF0000"/>
                      <w:w w:val="60"/>
                      <w:sz w:val="120"/>
                      <w:szCs w:val="120"/>
                    </w:rPr>
                  </w:pPr>
                  <w:r>
                    <w:rPr>
                      <w:rFonts w:hint="eastAsia" w:ascii="方正小标宋简体" w:eastAsia="方正小标宋简体"/>
                      <w:color w:val="FF0000"/>
                      <w:w w:val="60"/>
                      <w:sz w:val="120"/>
                      <w:szCs w:val="120"/>
                    </w:rPr>
                    <w:t>文件</w:t>
                  </w:r>
                </w:p>
              </w:txbxContent>
            </v:textbox>
          </v:shape>
        </w:pict>
      </w:r>
      <w:r>
        <w:rPr>
          <w:rFonts w:hint="eastAsia" w:ascii="方正小标宋简体" w:eastAsia="方正小标宋简体" w:hAnsiTheme="majorEastAsia" w:cstheme="majorEastAsia"/>
          <w:bCs/>
          <w:sz w:val="44"/>
          <w:szCs w:val="44"/>
        </w:rPr>
        <w:pict>
          <v:shape id="_x0000_s2051" o:spid="_x0000_s2051" o:spt="202" type="#_x0000_t202" style="position:absolute;left:0pt;margin-left:-8.3pt;margin-top:3.1pt;height:75.75pt;width:387.75pt;z-index:251658240;mso-width-relative:page;mso-height-relative:page;" stroked="f" coordsize="21600,21600">
            <v:path/>
            <v:fill focussize="0,0"/>
            <v:stroke on="f" joinstyle="miter"/>
            <v:imagedata o:title=""/>
            <o:lock v:ext="edit"/>
            <v:textbox>
              <w:txbxContent>
                <w:p>
                  <w:pPr>
                    <w:snapToGrid w:val="0"/>
                    <w:rPr>
                      <w:rFonts w:hint="eastAsia" w:ascii="方正小标宋简体" w:eastAsia="方正小标宋简体"/>
                      <w:color w:val="FF0000"/>
                      <w:sz w:val="84"/>
                      <w:szCs w:val="84"/>
                    </w:rPr>
                  </w:pPr>
                  <w:r>
                    <w:rPr>
                      <w:rFonts w:hint="eastAsia" w:ascii="方正小标宋简体" w:eastAsia="方正小标宋简体"/>
                      <w:color w:val="FF0000"/>
                      <w:spacing w:val="2"/>
                      <w:w w:val="47"/>
                      <w:kern w:val="0"/>
                      <w:sz w:val="84"/>
                      <w:szCs w:val="84"/>
                      <w:fitText w:val="7524" w:id="0"/>
                    </w:rPr>
                    <w:t>福建省第四次全国经济普查领导小组办公</w:t>
                  </w:r>
                  <w:r>
                    <w:rPr>
                      <w:rFonts w:hint="eastAsia" w:ascii="方正小标宋简体" w:eastAsia="方正小标宋简体"/>
                      <w:color w:val="FF0000"/>
                      <w:spacing w:val="-14"/>
                      <w:w w:val="47"/>
                      <w:kern w:val="0"/>
                      <w:sz w:val="84"/>
                      <w:szCs w:val="84"/>
                      <w:fitText w:val="7524" w:id="0"/>
                    </w:rPr>
                    <w:t>室</w:t>
                  </w:r>
                </w:p>
              </w:txbxContent>
            </v:textbox>
          </v:shape>
        </w:pict>
      </w:r>
    </w:p>
    <w:p>
      <w:pPr>
        <w:snapToGrid w:val="0"/>
        <w:jc w:val="center"/>
        <w:rPr>
          <w:rFonts w:hint="eastAsia" w:ascii="方正小标宋简体" w:eastAsia="方正小标宋简体" w:hAnsiTheme="majorEastAsia" w:cstheme="majorEastAsia"/>
          <w:bCs/>
          <w:sz w:val="44"/>
          <w:szCs w:val="44"/>
        </w:rPr>
      </w:pPr>
      <w:r>
        <w:rPr>
          <w:rFonts w:hint="eastAsia" w:ascii="方正小标宋简体" w:eastAsia="方正小标宋简体" w:hAnsiTheme="majorEastAsia" w:cstheme="majorEastAsia"/>
          <w:bCs/>
          <w:sz w:val="44"/>
          <w:szCs w:val="44"/>
        </w:rPr>
        <w:pict>
          <v:shape id="_x0000_s2053" o:spid="_x0000_s2053" o:spt="202" type="#_x0000_t202" style="position:absolute;left:0pt;margin-left:-6.05pt;margin-top:26.75pt;height:77.25pt;width:393pt;z-index:251659264;mso-width-relative:page;mso-height-relative:page;" stroked="f" coordsize="21600,21600">
            <v:path/>
            <v:fill focussize="0,0"/>
            <v:stroke on="f" joinstyle="miter"/>
            <v:imagedata o:title=""/>
            <o:lock v:ext="edit"/>
            <v:textbox>
              <w:txbxContent>
                <w:p>
                  <w:pPr>
                    <w:snapToGrid w:val="0"/>
                    <w:rPr>
                      <w:rFonts w:hint="eastAsia" w:ascii="方正小标宋简体" w:eastAsia="方正小标宋简体"/>
                      <w:color w:val="FF0000"/>
                      <w:w w:val="80"/>
                      <w:sz w:val="84"/>
                      <w:szCs w:val="84"/>
                    </w:rPr>
                  </w:pPr>
                  <w:r>
                    <w:rPr>
                      <w:rFonts w:hint="eastAsia" w:ascii="方正小标宋简体" w:eastAsia="方正小标宋简体"/>
                      <w:color w:val="FF0000"/>
                      <w:spacing w:val="351"/>
                      <w:w w:val="80"/>
                      <w:kern w:val="0"/>
                      <w:sz w:val="84"/>
                      <w:szCs w:val="84"/>
                      <w:fitText w:val="7524" w:id="1"/>
                    </w:rPr>
                    <w:t>福建省教育</w:t>
                  </w:r>
                  <w:r>
                    <w:rPr>
                      <w:rFonts w:hint="eastAsia" w:ascii="方正小标宋简体" w:eastAsia="方正小标宋简体"/>
                      <w:color w:val="FF0000"/>
                      <w:spacing w:val="-1"/>
                      <w:w w:val="80"/>
                      <w:kern w:val="0"/>
                      <w:sz w:val="84"/>
                      <w:szCs w:val="84"/>
                      <w:fitText w:val="7524" w:id="1"/>
                    </w:rPr>
                    <w:t>厅</w:t>
                  </w:r>
                </w:p>
              </w:txbxContent>
            </v:textbox>
          </v:shape>
        </w:pict>
      </w:r>
    </w:p>
    <w:p>
      <w:pPr>
        <w:snapToGrid w:val="0"/>
        <w:jc w:val="center"/>
        <w:rPr>
          <w:rFonts w:hint="eastAsia" w:ascii="方正小标宋简体" w:eastAsia="方正小标宋简体" w:hAnsiTheme="majorEastAsia" w:cstheme="majorEastAsia"/>
          <w:bCs/>
          <w:sz w:val="44"/>
          <w:szCs w:val="44"/>
        </w:rPr>
      </w:pPr>
    </w:p>
    <w:p>
      <w:pPr>
        <w:snapToGrid w:val="0"/>
        <w:jc w:val="center"/>
        <w:rPr>
          <w:rFonts w:hint="eastAsia" w:ascii="方正小标宋简体" w:eastAsia="方正小标宋简体" w:hAnsiTheme="majorEastAsia" w:cstheme="majorEastAsia"/>
          <w:bCs/>
          <w:sz w:val="44"/>
          <w:szCs w:val="44"/>
        </w:rPr>
      </w:pPr>
    </w:p>
    <w:p>
      <w:pPr>
        <w:tabs>
          <w:tab w:val="left" w:pos="2212"/>
        </w:tabs>
        <w:jc w:val="center"/>
        <w:rPr>
          <w:rFonts w:hint="eastAsia" w:ascii="仿宋_GB2312" w:eastAsia="仿宋_GB2312"/>
        </w:rPr>
      </w:pPr>
    </w:p>
    <w:p>
      <w:pPr>
        <w:tabs>
          <w:tab w:val="left" w:pos="2212"/>
        </w:tabs>
        <w:jc w:val="center"/>
        <w:rPr>
          <w:rFonts w:ascii="仿宋_GB2312" w:eastAsia="仿宋_GB2312"/>
        </w:rPr>
      </w:pPr>
      <w:r>
        <w:rPr>
          <w:rFonts w:hint="eastAsia" w:ascii="仿宋_GB2312" w:eastAsia="仿宋_GB2312"/>
        </w:rPr>
        <w:t>闽经普办〔2018〕47号</w:t>
      </w:r>
    </w:p>
    <w:p>
      <w:pPr>
        <w:jc w:val="center"/>
      </w:pPr>
      <w:r>
        <w:pict>
          <v:line id="_x0000_s2056" o:spid="_x0000_s2056" o:spt="20" style="position:absolute;left:0pt;flip:y;margin-left:-0.15pt;margin-top:2.6pt;height:0pt;width:442.2pt;z-index:251658240;mso-width-relative:page;mso-height-relative:page;" stroked="t" coordsize="21600,21600" o:gfxdata="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08uC71AAAAAcB&#10;AAAPAAAAAAAAAAEAIAAAACIAAABkcnMvZG93bnJldi54bWxQSwECFAAUAAAACACHTuJAXfiBpeYB&#10;AAChAwAADgAAAAAAAAABACAAAAAjAQAAZHJzL2Uyb0RvYy54bWxQSwUGAAAAAAYABgBZAQAAewUA&#10;AAAA&#10;">
            <v:path arrowok="t"/>
            <v:fill focussize="0,0"/>
            <v:stroke weight="2.75pt" color="#FF0000"/>
            <v:imagedata o:title=""/>
            <o:lock v:ext="edit"/>
          </v:line>
        </w:pict>
      </w:r>
    </w:p>
    <w:p>
      <w:pPr>
        <w:autoSpaceDE w:val="0"/>
        <w:snapToGrid w:val="0"/>
        <w:jc w:val="center"/>
        <w:rPr>
          <w:rFonts w:ascii="方正小标宋简体" w:eastAsia="方正小标宋简体"/>
          <w:sz w:val="44"/>
          <w:szCs w:val="44"/>
        </w:rPr>
      </w:pPr>
    </w:p>
    <w:p>
      <w:pPr>
        <w:snapToGrid w:val="0"/>
        <w:jc w:val="center"/>
        <w:rPr>
          <w:rFonts w:hint="eastAsia" w:ascii="方正小标宋简体" w:eastAsia="方正小标宋简体" w:hAnsiTheme="majorEastAsia" w:cstheme="majorEastAsia"/>
          <w:bCs/>
          <w:sz w:val="44"/>
          <w:szCs w:val="44"/>
        </w:rPr>
      </w:pPr>
      <w:r>
        <w:rPr>
          <w:rFonts w:hint="eastAsia" w:ascii="方正小标宋简体" w:eastAsia="方正小标宋简体" w:hAnsiTheme="majorEastAsia" w:cstheme="majorEastAsia"/>
          <w:bCs/>
          <w:sz w:val="44"/>
          <w:szCs w:val="44"/>
        </w:rPr>
        <w:t>福建省第四次全国经济普查领导小组办公室</w:t>
      </w:r>
    </w:p>
    <w:p>
      <w:pPr>
        <w:snapToGrid w:val="0"/>
        <w:jc w:val="center"/>
        <w:rPr>
          <w:rFonts w:hint="eastAsia" w:ascii="方正小标宋简体" w:eastAsia="方正小标宋简体" w:hAnsiTheme="majorEastAsia" w:cstheme="majorEastAsia"/>
          <w:bCs/>
          <w:sz w:val="44"/>
          <w:szCs w:val="44"/>
        </w:rPr>
      </w:pPr>
      <w:r>
        <w:rPr>
          <w:rFonts w:hint="eastAsia" w:ascii="方正小标宋简体" w:eastAsia="方正小标宋简体" w:hAnsiTheme="majorEastAsia" w:cstheme="majorEastAsia"/>
          <w:bCs/>
          <w:sz w:val="44"/>
          <w:szCs w:val="44"/>
        </w:rPr>
        <w:t>福建省教育厅关于做好全省高校系统</w:t>
      </w:r>
    </w:p>
    <w:p>
      <w:pPr>
        <w:snapToGrid w:val="0"/>
        <w:jc w:val="center"/>
        <w:rPr>
          <w:rFonts w:hint="eastAsia" w:ascii="方正小标宋简体" w:eastAsia="方正小标宋简体" w:hAnsiTheme="majorEastAsia" w:cstheme="majorEastAsia"/>
          <w:bCs/>
          <w:sz w:val="44"/>
          <w:szCs w:val="44"/>
        </w:rPr>
      </w:pPr>
      <w:r>
        <w:rPr>
          <w:rFonts w:hint="eastAsia" w:ascii="方正小标宋简体" w:eastAsia="方正小标宋简体" w:hAnsiTheme="majorEastAsia" w:cstheme="majorEastAsia"/>
          <w:bCs/>
          <w:sz w:val="44"/>
          <w:szCs w:val="44"/>
        </w:rPr>
        <w:t>经济普查工作的通知</w:t>
      </w:r>
    </w:p>
    <w:p>
      <w:pPr>
        <w:pStyle w:val="5"/>
        <w:snapToGrid w:val="0"/>
        <w:jc w:val="both"/>
        <w:rPr>
          <w:rFonts w:hint="eastAsia" w:ascii="仿宋_GB2312" w:hAnsi="仿宋_GB2312" w:eastAsia="仿宋_GB2312" w:cs="仿宋_GB2312"/>
          <w:kern w:val="2"/>
        </w:rPr>
      </w:pPr>
    </w:p>
    <w:p>
      <w:pPr>
        <w:pStyle w:val="5"/>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各设区市、平潭综合实验区经普办，各高等院校：</w:t>
      </w:r>
    </w:p>
    <w:p>
      <w:pPr>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根据《福建省人民政府关于认真做好第四次全国经济普查工作的通知》（闽政〔2018〕1 号）文件精神，按照《福建省第四次全国经济普查领导小组办公室关于印发经济普查领导小组办公室工作规则的通知》（闽经普办〔2018〕23号）和《福建省第四次全国经济普查实施方案》等文件的有关规定，我省高校系统的第四次全国经济普查工作按“在地原则”组织实施，由各级普查机构与各高等院校共同负责。为切实做好我省高校系统第四次全国经济普查工作，现就有关事项和要求通知如下：</w:t>
      </w:r>
    </w:p>
    <w:p>
      <w:pPr>
        <w:ind w:firstLine="632" w:firstLineChars="200"/>
        <w:rPr>
          <w:rFonts w:ascii="黑体" w:hAnsi="黑体" w:eastAsia="黑体" w:cs="仿宋_GB2312"/>
          <w:bCs/>
          <w:szCs w:val="32"/>
        </w:rPr>
      </w:pPr>
      <w:r>
        <w:rPr>
          <w:rFonts w:hint="eastAsia" w:ascii="黑体" w:hAnsi="黑体" w:eastAsia="黑体" w:cs="仿宋_GB2312"/>
          <w:bCs/>
          <w:szCs w:val="32"/>
        </w:rPr>
        <w:t>一、提高思想认识</w:t>
      </w:r>
    </w:p>
    <w:p>
      <w:pPr>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第四次全国经济普查对摸清我省经济家底、加快构建现代统计调查体系、深化供给侧结构改革、推动全省经济实现高质量发展落实赶超具有重大意义。各高等院校要提高思想认识，增强责任意识，确保普查工作顺利开展。</w:t>
      </w:r>
    </w:p>
    <w:p>
      <w:pPr>
        <w:ind w:firstLine="632" w:firstLineChars="200"/>
        <w:rPr>
          <w:rFonts w:ascii="黑体" w:hAnsi="黑体" w:eastAsia="黑体" w:cs="仿宋_GB2312"/>
          <w:bCs/>
          <w:szCs w:val="32"/>
        </w:rPr>
      </w:pPr>
      <w:r>
        <w:rPr>
          <w:rFonts w:hint="eastAsia" w:ascii="黑体" w:hAnsi="黑体" w:eastAsia="黑体" w:cs="仿宋_GB2312"/>
          <w:bCs/>
          <w:szCs w:val="32"/>
        </w:rPr>
        <w:t>二、加强组织领导</w:t>
      </w:r>
    </w:p>
    <w:p>
      <w:pPr>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各高等院校要切实加强对经济普查工作的组织领导，主要负责同志亲自过问，分管负责同志靠前指挥，明确专人负责，积极配合当地普查机构做好高校校区内经济普查各项工作。</w:t>
      </w:r>
    </w:p>
    <w:p>
      <w:pPr>
        <w:ind w:firstLine="632" w:firstLineChars="200"/>
        <w:rPr>
          <w:rFonts w:ascii="黑体" w:hAnsi="黑体" w:eastAsia="黑体" w:cs="仿宋_GB2312"/>
          <w:bCs/>
          <w:szCs w:val="32"/>
        </w:rPr>
      </w:pPr>
      <w:r>
        <w:rPr>
          <w:rFonts w:hint="eastAsia" w:ascii="黑体" w:hAnsi="黑体" w:eastAsia="黑体" w:cs="仿宋_GB2312"/>
          <w:bCs/>
          <w:szCs w:val="32"/>
        </w:rPr>
        <w:t>三、积极参加培训</w:t>
      </w:r>
    </w:p>
    <w:p>
      <w:pPr>
        <w:ind w:firstLine="632" w:firstLineChars="200"/>
        <w:rPr>
          <w:rFonts w:hint="eastAsia" w:ascii="仿宋_GB2312" w:hAnsi="仿宋_GB2312" w:eastAsia="仿宋_GB2312" w:cs="仿宋_GB2312"/>
          <w:szCs w:val="32"/>
        </w:rPr>
      </w:pPr>
      <w:r>
        <w:rPr>
          <w:rFonts w:hint="eastAsia" w:ascii="仿宋_GB2312" w:hAnsi="仿宋_GB2312" w:eastAsia="仿宋_GB2312" w:cs="仿宋_GB2312"/>
          <w:szCs w:val="32"/>
        </w:rPr>
        <w:t>各高等院校经济普查工作人员要积极参加普查机构组织的各项经济普查业务培训，了解、领会经济普查的目的和意义，熟悉相关的普查业务。</w:t>
      </w:r>
    </w:p>
    <w:p>
      <w:pPr>
        <w:ind w:firstLine="632" w:firstLineChars="200"/>
        <w:rPr>
          <w:rFonts w:ascii="黑体" w:hAnsi="黑体" w:eastAsia="黑体" w:cs="仿宋_GB2312"/>
          <w:bCs/>
          <w:szCs w:val="32"/>
        </w:rPr>
      </w:pPr>
      <w:r>
        <w:rPr>
          <w:rFonts w:hint="eastAsia" w:ascii="黑体" w:hAnsi="黑体" w:eastAsia="黑体" w:cs="仿宋_GB2312"/>
          <w:bCs/>
          <w:szCs w:val="32"/>
        </w:rPr>
        <w:t>四、提供真实信息</w:t>
      </w:r>
    </w:p>
    <w:p>
      <w:pPr>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各高等院校要严格按照《统计法》《统计法实施条例》《全国经济普查条例》的规定，按时如实填报普查表，及时向普查机构提供真实准确的经济普查有关资料，不得虚报、瞒报、拒保、迟报，不得拒绝或者妨碍普查机构和普查人员依法开展普查工作。</w:t>
      </w:r>
    </w:p>
    <w:p>
      <w:pPr>
        <w:ind w:firstLine="632" w:firstLineChars="200"/>
        <w:rPr>
          <w:rFonts w:ascii="黑体" w:hAnsi="黑体" w:eastAsia="黑体" w:cs="仿宋_GB2312"/>
          <w:bCs/>
          <w:szCs w:val="32"/>
        </w:rPr>
      </w:pPr>
      <w:r>
        <w:rPr>
          <w:rFonts w:hint="eastAsia" w:ascii="黑体" w:hAnsi="黑体" w:eastAsia="黑体" w:cs="仿宋_GB2312"/>
          <w:bCs/>
          <w:szCs w:val="32"/>
        </w:rPr>
        <w:t>五、确保普查质量</w:t>
      </w:r>
    </w:p>
    <w:p>
      <w:pPr>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各高等院校要认真指导、督促本单位做好经济普查工作，及时解决普查工作遇到的问题和困难，保证普查现场入户登记等各项普查工作高质量完成。</w:t>
      </w:r>
    </w:p>
    <w:p>
      <w:pPr>
        <w:ind w:firstLine="632" w:firstLineChars="200"/>
        <w:rPr>
          <w:rFonts w:ascii="黑体" w:hAnsi="黑体" w:eastAsia="黑体" w:cs="仿宋_GB2312"/>
          <w:bCs/>
          <w:szCs w:val="32"/>
        </w:rPr>
      </w:pPr>
      <w:r>
        <w:rPr>
          <w:rFonts w:hint="eastAsia" w:ascii="黑体" w:hAnsi="黑体" w:eastAsia="黑体" w:cs="仿宋_GB2312"/>
          <w:bCs/>
          <w:szCs w:val="32"/>
        </w:rPr>
        <w:t>六、具体业务问题</w:t>
      </w:r>
    </w:p>
    <w:p>
      <w:pPr>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各高等院校在普查工作中需熟悉以下几个具体业务问题：</w:t>
      </w:r>
    </w:p>
    <w:p>
      <w:pPr>
        <w:ind w:firstLine="632" w:firstLineChars="200"/>
        <w:rPr>
          <w:rFonts w:hint="eastAsia" w:ascii="仿宋_GB2312" w:hAnsi="仿宋_GB2312" w:eastAsia="仿宋_GB2312" w:cs="仿宋_GB2312"/>
          <w:szCs w:val="32"/>
        </w:rPr>
      </w:pPr>
      <w:r>
        <w:rPr>
          <w:rFonts w:hint="eastAsia" w:ascii="仿宋_GB2312" w:hAnsi="仿宋_GB2312" w:eastAsia="仿宋_GB2312" w:cs="仿宋_GB2312"/>
          <w:szCs w:val="32"/>
        </w:rPr>
        <w:t>（一）高校校区“在地原则”的含义：高校本部、分校的教学区、办公科研区、生活住宿区，包括在校园围墙内门面朝街开的单位地域，要按在地原则进行普查登记。 </w:t>
      </w:r>
    </w:p>
    <w:p>
      <w:pPr>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（二）普查登记对象：高校校区内从事第二产业和第三产业的全部法人单位、产业活动单位和个体经营户。</w:t>
      </w:r>
    </w:p>
    <w:p>
      <w:pPr>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（三）普查时点和时期：普查的标准时点为2018年12月31日。普查登记时，时点指标填写2018年12月31日数据，时期指标填写2018年1月1日-12月31日数据。</w:t>
      </w:r>
    </w:p>
    <w:p>
      <w:pPr>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（四）普查表等相关资料：由当地普查机构提供。</w:t>
      </w:r>
    </w:p>
    <w:p>
      <w:pPr>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 </w:t>
      </w:r>
    </w:p>
    <w:p>
      <w:pPr>
        <w:ind w:firstLine="632" w:firstLineChars="200"/>
        <w:rPr>
          <w:rFonts w:hint="eastAsia" w:ascii="仿宋_GB2312" w:hAnsi="仿宋_GB2312" w:eastAsia="仿宋_GB2312" w:cs="仿宋_GB2312"/>
          <w:szCs w:val="32"/>
        </w:rPr>
      </w:pPr>
      <w:r>
        <w:rPr>
          <w:rFonts w:hint="eastAsia" w:ascii="仿宋_GB2312" w:hAnsi="仿宋_GB2312" w:eastAsia="仿宋_GB2312" w:cs="仿宋_GB2312"/>
          <w:szCs w:val="32"/>
        </w:rPr>
        <w:pict>
          <v:shape id="_x0000_s2058" o:spid="_x0000_s2058" o:spt="202" type="#_x0000_t202" style="position:absolute;left:0pt;margin-left:5.5pt;margin-top:25.45pt;height:68.2pt;width:184.95pt;z-index:251660288;mso-width-relative:page;mso-height-relative:page;" fillcolor="#FFFFFF [3201]" filled="t" stroked="f" coordsize="21600,21600" o:gfxdata="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&#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Bn2emvWAAAACgEAAA8AAAAAAAAAAQAgAAAAIgAAAGRy&#10;cy9kb3ducmV2LnhtbFBLAQIUABQAAAAIAIdO4kDUarNGQAIAAE0EAAAOAAAAAAAAAAEAIAAAACUB&#10;AABkcnMvZTJvRG9jLnhtbFBLBQYAAAAABgAGAFkBAADXBQAAAAA=&#10;">
            <v:path/>
            <v:fill on="t" focussize="0,0"/>
            <v:stroke on="f" weight="0.5pt" joinstyle="miter"/>
            <v:imagedata o:title=""/>
            <o:lock v:ext="edit"/>
            <v:textbox>
              <w:txbxContent>
                <w:p>
                  <w:pPr>
                    <w:pStyle w:val="5"/>
                    <w:widowControl/>
                    <w:snapToGrid w:val="0"/>
                    <w:spacing w:line="500" w:lineRule="exact"/>
                    <w:jc w:val="center"/>
                    <w:rPr>
                      <w:rFonts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rPr>
                    <w:t>福建省第四次全国经济普查领导小组办公室</w:t>
                  </w:r>
                </w:p>
                <w:p/>
              </w:txbxContent>
            </v:textbox>
          </v:shape>
        </w:pict>
      </w:r>
    </w:p>
    <w:p>
      <w:pPr>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 xml:space="preserve">                              福建省教育厅</w:t>
      </w:r>
    </w:p>
    <w:p>
      <w:pPr>
        <w:ind w:firstLine="632" w:firstLineChars="200"/>
        <w:rPr>
          <w:rFonts w:hint="eastAsia" w:ascii="仿宋_GB2312" w:hAnsi="仿宋_GB2312" w:eastAsia="仿宋_GB2312" w:cs="仿宋_GB2312"/>
          <w:szCs w:val="32"/>
        </w:rPr>
      </w:pPr>
      <w:r>
        <w:rPr>
          <w:rFonts w:hint="eastAsia" w:ascii="仿宋_GB2312" w:hAnsi="仿宋_GB2312" w:eastAsia="仿宋_GB2312" w:cs="仿宋_GB2312"/>
          <w:szCs w:val="32"/>
        </w:rPr>
        <w:t xml:space="preserve">                            2018年12月13日</w:t>
      </w:r>
    </w:p>
    <w:p>
      <w:pPr>
        <w:ind w:firstLine="632" w:firstLineChars="200"/>
        <w:rPr>
          <w:rFonts w:hint="eastAsia" w:ascii="仿宋_GB2312" w:hAnsi="仿宋_GB2312" w:eastAsia="仿宋_GB2312" w:cs="仿宋_GB2312"/>
          <w:szCs w:val="32"/>
        </w:rPr>
      </w:pPr>
    </w:p>
    <w:p>
      <w:pPr>
        <w:ind w:firstLine="632" w:firstLineChars="200"/>
        <w:rPr>
          <w:rFonts w:hint="eastAsia" w:ascii="仿宋_GB2312" w:hAnsi="仿宋_GB2312" w:eastAsia="仿宋_GB2312" w:cs="仿宋_GB2312"/>
          <w:szCs w:val="32"/>
        </w:rPr>
      </w:pPr>
    </w:p>
    <w:p>
      <w:pPr>
        <w:ind w:firstLine="632" w:firstLineChars="200"/>
        <w:rPr>
          <w:rFonts w:hint="eastAsia" w:ascii="仿宋_GB2312" w:hAnsi="仿宋_GB2312" w:eastAsia="仿宋_GB2312" w:cs="仿宋_GB2312"/>
          <w:szCs w:val="32"/>
        </w:rPr>
      </w:pPr>
      <w:bookmarkStart w:id="0" w:name="_GoBack"/>
      <w:bookmarkEnd w:id="0"/>
    </w:p>
    <w:p>
      <w:pPr>
        <w:snapToGrid w:val="0"/>
        <w:ind w:firstLine="632" w:firstLineChars="200"/>
        <w:rPr>
          <w:rFonts w:hint="eastAsia" w:ascii="仿宋_GB2312" w:hAnsi="仿宋_GB2312" w:eastAsia="仿宋_GB2312" w:cs="仿宋_GB2312"/>
          <w:szCs w:val="32"/>
        </w:rPr>
      </w:pPr>
    </w:p>
    <w:p>
      <w:pPr>
        <w:pBdr>
          <w:top w:val="single" w:color="auto" w:sz="6" w:space="1"/>
          <w:bottom w:val="single" w:color="auto" w:sz="6" w:space="1"/>
        </w:pBdr>
        <w:ind w:firstLine="276" w:firstLineChars="100"/>
        <w:rPr>
          <w:rFonts w:ascii="仿宋_GB2312" w:hAnsi="仿宋_GB2312" w:eastAsia="仿宋_GB2312" w:cs="仿宋_GB2312"/>
          <w:szCs w:val="32"/>
        </w:rPr>
      </w:pPr>
      <w:r>
        <w:rPr>
          <w:rFonts w:hint="eastAsia" w:ascii="仿宋_GB2312" w:eastAsia="仿宋_GB2312"/>
          <w:sz w:val="28"/>
          <w:szCs w:val="28"/>
        </w:rPr>
        <w:t>福建省统计局办公室                     2018年12月14日印发</w:t>
      </w:r>
    </w:p>
    <w:sectPr>
      <w:footerReference r:id="rId3" w:type="default"/>
      <w:footerReference r:id="rId4" w:type="even"/>
      <w:pgSz w:w="11906" w:h="16838"/>
      <w:pgMar w:top="2098" w:right="1531" w:bottom="2098" w:left="1531" w:header="851" w:footer="992" w:gutter="0"/>
      <w:pgNumType w:fmt="numberInDash"/>
      <w:cols w:space="720" w:num="1"/>
      <w:docGrid w:type="linesAndChars" w:linePitch="574"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8"/>
        <w:szCs w:val="28"/>
      </w:rPr>
      <w:id w:val="11155632"/>
      <w:docPartObj>
        <w:docPartGallery w:val="AutoText"/>
      </w:docPartObj>
    </w:sdtPr>
    <w:sdtEndPr>
      <w:rPr>
        <w:rFonts w:asciiTheme="minorEastAsia" w:hAnsiTheme="minorEastAsia" w:eastAsiaTheme="minorEastAsia"/>
        <w:sz w:val="28"/>
        <w:szCs w:val="28"/>
      </w:rPr>
    </w:sdtEndPr>
    <w:sdtContent>
      <w:p>
        <w:pPr>
          <w:pStyle w:val="3"/>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55634"/>
      <w:docPartObj>
        <w:docPartGallery w:val="AutoText"/>
      </w:docPartObj>
    </w:sdtPr>
    <w:sdtEndPr>
      <w:rPr>
        <w:rFonts w:asciiTheme="minorEastAsia" w:hAnsiTheme="minorEastAsia" w:eastAsiaTheme="minorEastAsia"/>
        <w:sz w:val="28"/>
        <w:szCs w:val="28"/>
      </w:rPr>
    </w:sdtEndPr>
    <w:sdtContent>
      <w:p>
        <w:pPr>
          <w:pStyle w:val="3"/>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2 -</w:t>
        </w:r>
        <w:r>
          <w:rPr>
            <w:rFonts w:asciiTheme="minorEastAsia" w:hAnsiTheme="minorEastAsia" w:eastAsiaTheme="minorEastAsia"/>
            <w:sz w:val="28"/>
            <w:szCs w:val="28"/>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evenAndOddHeaders w:val="1"/>
  <w:drawingGridHorizontalSpacing w:val="158"/>
  <w:drawingGridVerticalSpacing w:val="287"/>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A940BC4"/>
    <w:rsid w:val="00160BAF"/>
    <w:rsid w:val="00300661"/>
    <w:rsid w:val="00854463"/>
    <w:rsid w:val="00AB5197"/>
    <w:rsid w:val="00BE3F8A"/>
    <w:rsid w:val="00C5403B"/>
    <w:rsid w:val="04C47B2A"/>
    <w:rsid w:val="141E3739"/>
    <w:rsid w:val="1A3B443A"/>
    <w:rsid w:val="20893C0D"/>
    <w:rsid w:val="25E45E2F"/>
    <w:rsid w:val="2EE31499"/>
    <w:rsid w:val="2FD27255"/>
    <w:rsid w:val="3D8E2732"/>
    <w:rsid w:val="559F62AD"/>
    <w:rsid w:val="5A5B5FE9"/>
    <w:rsid w:val="6083382C"/>
    <w:rsid w:val="60D01480"/>
    <w:rsid w:val="7A777B5A"/>
    <w:rsid w:val="7A940BC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character" w:default="1" w:styleId="6">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6"/>
    <w:uiPriority w:val="0"/>
    <w:pPr>
      <w:ind w:left="100" w:leftChars="2500"/>
    </w:pPr>
  </w:style>
  <w:style w:type="paragraph" w:styleId="3">
    <w:name w:val="footer"/>
    <w:basedOn w:val="1"/>
    <w:link w:val="15"/>
    <w:qFormat/>
    <w:uiPriority w:val="99"/>
    <w:pPr>
      <w:tabs>
        <w:tab w:val="center" w:pos="4153"/>
        <w:tab w:val="right" w:pos="8306"/>
      </w:tabs>
      <w:snapToGrid w:val="0"/>
      <w:jc w:val="left"/>
    </w:pPr>
    <w:rPr>
      <w:sz w:val="18"/>
      <w:szCs w:val="18"/>
    </w:rPr>
  </w:style>
  <w:style w:type="paragraph" w:styleId="4">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kern w:val="0"/>
      <w:sz w:val="24"/>
    </w:rPr>
  </w:style>
  <w:style w:type="character" w:styleId="7">
    <w:name w:val="FollowedHyperlink"/>
    <w:basedOn w:val="6"/>
    <w:qFormat/>
    <w:uiPriority w:val="0"/>
    <w:rPr>
      <w:color w:val="333333"/>
      <w:u w:val="none"/>
    </w:rPr>
  </w:style>
  <w:style w:type="character" w:styleId="8">
    <w:name w:val="Emphasis"/>
    <w:basedOn w:val="6"/>
    <w:qFormat/>
    <w:uiPriority w:val="0"/>
  </w:style>
  <w:style w:type="character" w:styleId="9">
    <w:name w:val="Hyperlink"/>
    <w:basedOn w:val="6"/>
    <w:qFormat/>
    <w:uiPriority w:val="0"/>
    <w:rPr>
      <w:color w:val="333333"/>
      <w:u w:val="none"/>
    </w:rPr>
  </w:style>
  <w:style w:type="character" w:customStyle="1" w:styleId="11">
    <w:name w:val="icon"/>
    <w:basedOn w:val="6"/>
    <w:qFormat/>
    <w:uiPriority w:val="0"/>
  </w:style>
  <w:style w:type="character" w:customStyle="1" w:styleId="12">
    <w:name w:val="icon1"/>
    <w:basedOn w:val="6"/>
    <w:qFormat/>
    <w:uiPriority w:val="0"/>
  </w:style>
  <w:style w:type="paragraph" w:customStyle="1" w:styleId="13">
    <w:name w:val="二级目录"/>
    <w:basedOn w:val="1"/>
    <w:qFormat/>
    <w:uiPriority w:val="99"/>
    <w:pPr>
      <w:spacing w:line="360" w:lineRule="exact"/>
      <w:ind w:firstLine="412" w:firstLineChars="196"/>
      <w:outlineLvl w:val="1"/>
    </w:pPr>
    <w:rPr>
      <w:rFonts w:ascii="Times New Roman" w:hAnsi="宋体"/>
      <w:kern w:val="0"/>
      <w:szCs w:val="21"/>
    </w:rPr>
  </w:style>
  <w:style w:type="character" w:customStyle="1" w:styleId="14">
    <w:name w:val="页眉 Char"/>
    <w:basedOn w:val="6"/>
    <w:link w:val="4"/>
    <w:uiPriority w:val="0"/>
    <w:rPr>
      <w:rFonts w:ascii="Calibri" w:hAnsi="Calibri"/>
      <w:kern w:val="2"/>
      <w:sz w:val="18"/>
      <w:szCs w:val="18"/>
    </w:rPr>
  </w:style>
  <w:style w:type="character" w:customStyle="1" w:styleId="15">
    <w:name w:val="页脚 Char"/>
    <w:basedOn w:val="6"/>
    <w:link w:val="3"/>
    <w:uiPriority w:val="99"/>
    <w:rPr>
      <w:rFonts w:ascii="Calibri" w:hAnsi="Calibri"/>
      <w:kern w:val="2"/>
      <w:sz w:val="18"/>
      <w:szCs w:val="18"/>
    </w:rPr>
  </w:style>
  <w:style w:type="character" w:customStyle="1" w:styleId="16">
    <w:name w:val="日期 Char"/>
    <w:basedOn w:val="6"/>
    <w:link w:val="2"/>
    <w:uiPriority w:val="0"/>
    <w:rPr>
      <w:rFonts w:ascii="Calibri" w:hAnsi="Calibri"/>
      <w:kern w:val="2"/>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4"/>
    <customShpInfo spid="_x0000_s2051"/>
    <customShpInfo spid="_x0000_s2053"/>
    <customShpInfo spid="_x0000_s2056"/>
    <customShpInfo spid="_x0000_s2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178</Words>
  <Characters>1021</Characters>
  <Lines>8</Lines>
  <Paragraphs>2</Paragraphs>
  <TotalTime>12</TotalTime>
  <ScaleCrop>false</ScaleCrop>
  <LinksUpToDate>false</LinksUpToDate>
  <CharactersWithSpaces>1197</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2018-09-10T03:54:00Z</dcterms:created>
  <dc:creator>Administrator</dc:creator>
  <cp:lastModifiedBy>蓉</cp:lastModifiedBy>
  <dcterms:modified xsi:type="dcterms:W3CDTF">2019-02-26T09:21:17Z</dcterms:modified>
  <dc:title>关于做好全省高校系统经济普查工作的通知（代拟稿）</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