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5E1" w:rsidRPr="002F78CC" w:rsidRDefault="003621FC" w:rsidP="002F78CC">
      <w:pPr>
        <w:spacing w:line="600" w:lineRule="exact"/>
        <w:ind w:firstLineChars="0" w:firstLine="420"/>
        <w:jc w:val="left"/>
        <w:rPr>
          <w:rFonts w:ascii="方正小标宋简体" w:eastAsia="方正小标宋简体" w:hAnsi="仿宋" w:cs="Times New Roman"/>
          <w:sz w:val="36"/>
          <w:szCs w:val="36"/>
        </w:rPr>
      </w:pPr>
      <w:r w:rsidRPr="002F78CC">
        <w:rPr>
          <w:rFonts w:ascii="方正小标宋简体" w:eastAsia="方正小标宋简体" w:hAnsi="仿宋" w:cs="Times New Roman" w:hint="eastAsia"/>
          <w:sz w:val="36"/>
          <w:szCs w:val="36"/>
        </w:rPr>
        <w:t>附件</w:t>
      </w:r>
      <w:r w:rsidR="00D1781F">
        <w:rPr>
          <w:rFonts w:ascii="方正小标宋简体" w:eastAsia="方正小标宋简体" w:hAnsi="仿宋" w:cs="Times New Roman" w:hint="eastAsia"/>
          <w:sz w:val="36"/>
          <w:szCs w:val="36"/>
        </w:rPr>
        <w:t>6</w:t>
      </w:r>
    </w:p>
    <w:p w:rsidR="002F78CC" w:rsidRDefault="003621FC" w:rsidP="002F78CC">
      <w:pPr>
        <w:spacing w:line="600" w:lineRule="exact"/>
        <w:ind w:firstLineChars="0" w:firstLine="420"/>
        <w:jc w:val="center"/>
        <w:rPr>
          <w:rFonts w:ascii="方正小标宋简体" w:eastAsia="方正小标宋简体" w:hAnsi="仿宋" w:cs="Times New Roman"/>
          <w:sz w:val="36"/>
          <w:szCs w:val="36"/>
        </w:rPr>
      </w:pPr>
      <w:r w:rsidRPr="002F78CC">
        <w:rPr>
          <w:rFonts w:ascii="方正小标宋简体" w:eastAsia="方正小标宋简体" w:hAnsi="仿宋" w:cs="Times New Roman" w:hint="eastAsia"/>
          <w:sz w:val="36"/>
          <w:szCs w:val="36"/>
        </w:rPr>
        <w:t>关于进一步完善高等教育学校多点办学</w:t>
      </w:r>
    </w:p>
    <w:p w:rsidR="002865E1" w:rsidRPr="002F78CC" w:rsidRDefault="003621FC" w:rsidP="002F78CC">
      <w:pPr>
        <w:spacing w:line="600" w:lineRule="exact"/>
        <w:ind w:firstLineChars="0" w:firstLine="420"/>
        <w:jc w:val="center"/>
        <w:rPr>
          <w:rFonts w:ascii="方正小标宋简体" w:eastAsia="方正小标宋简体" w:hAnsi="仿宋" w:cs="Times New Roman"/>
          <w:sz w:val="36"/>
          <w:szCs w:val="36"/>
        </w:rPr>
      </w:pPr>
      <w:r w:rsidRPr="002F78CC">
        <w:rPr>
          <w:rFonts w:ascii="方正小标宋简体" w:eastAsia="方正小标宋简体" w:hAnsi="仿宋" w:cs="Times New Roman" w:hint="eastAsia"/>
          <w:sz w:val="36"/>
          <w:szCs w:val="36"/>
        </w:rPr>
        <w:t>情况统计的说明</w:t>
      </w:r>
    </w:p>
    <w:p w:rsidR="002F78CC" w:rsidRDefault="002F78CC">
      <w:pPr>
        <w:ind w:firstLine="640"/>
        <w:rPr>
          <w:rFonts w:ascii="仿宋_GB2312"/>
          <w:szCs w:val="32"/>
        </w:rPr>
      </w:pPr>
    </w:p>
    <w:p w:rsidR="002865E1" w:rsidRDefault="003621FC">
      <w:pPr>
        <w:ind w:firstLine="640"/>
        <w:rPr>
          <w:rFonts w:ascii="黑体" w:eastAsia="黑体" w:hAnsi="黑体"/>
          <w:szCs w:val="32"/>
        </w:rPr>
      </w:pPr>
      <w:r>
        <w:rPr>
          <w:rFonts w:ascii="仿宋_GB2312" w:hint="eastAsia"/>
          <w:szCs w:val="32"/>
        </w:rPr>
        <w:t>为进一步做好高等教育学校（以下简称“高校”）多点办学（以下简称“办学点”）数据填报工作，按照有关文件和高校实际办学情况，《教育事业综合统计调查制度》（2022年）中进一步完善了高校办学点填报说明，具体如下：</w:t>
      </w:r>
    </w:p>
    <w:p w:rsidR="002865E1" w:rsidRDefault="003621FC">
      <w:pPr>
        <w:ind w:firstLine="640"/>
        <w:rPr>
          <w:rFonts w:ascii="黑体" w:eastAsia="黑体" w:hAnsi="黑体"/>
          <w:szCs w:val="32"/>
        </w:rPr>
      </w:pPr>
      <w:r>
        <w:rPr>
          <w:rFonts w:ascii="黑体" w:eastAsia="黑体" w:hAnsi="黑体" w:hint="eastAsia"/>
          <w:szCs w:val="32"/>
        </w:rPr>
        <w:t>一、</w:t>
      </w:r>
      <w:r>
        <w:rPr>
          <w:rFonts w:ascii="黑体" w:eastAsia="黑体" w:hAnsi="黑体"/>
          <w:szCs w:val="32"/>
        </w:rPr>
        <w:t>统计</w:t>
      </w:r>
      <w:r>
        <w:rPr>
          <w:rFonts w:ascii="黑体" w:eastAsia="黑体" w:hAnsi="黑体" w:hint="eastAsia"/>
          <w:szCs w:val="32"/>
        </w:rPr>
        <w:t>范围</w:t>
      </w:r>
    </w:p>
    <w:p w:rsidR="002865E1" w:rsidRDefault="003621FC">
      <w:pPr>
        <w:ind w:firstLine="640"/>
        <w:rPr>
          <w:rFonts w:ascii="仿宋_GB2312"/>
          <w:szCs w:val="32"/>
        </w:rPr>
      </w:pPr>
      <w:r>
        <w:rPr>
          <w:rFonts w:ascii="仿宋_GB2312" w:hint="eastAsia"/>
          <w:szCs w:val="32"/>
        </w:rPr>
        <w:t>开展多点办学情况统计的高校包括：大学、学院、独立学院、本科层次职业学校、高等职业学校和高等专科学校，不包含成人高校。</w:t>
      </w:r>
    </w:p>
    <w:p w:rsidR="002865E1" w:rsidRDefault="003621FC">
      <w:pPr>
        <w:ind w:firstLine="640"/>
        <w:rPr>
          <w:rFonts w:ascii="仿宋_GB2312"/>
          <w:szCs w:val="32"/>
        </w:rPr>
      </w:pPr>
      <w:r>
        <w:rPr>
          <w:rFonts w:ascii="仿宋_GB2312" w:hint="eastAsia"/>
          <w:szCs w:val="32"/>
        </w:rPr>
        <w:t>统计范围包括上述高校在中华人民共和国境内设立的主校区、分校区、研究生培养机构、科研机构、附属医院、高等学历继续教育校外教学点、专门实习用地、其他校外用房等。</w:t>
      </w:r>
    </w:p>
    <w:p w:rsidR="002865E1" w:rsidRDefault="003621FC">
      <w:pPr>
        <w:ind w:firstLine="640"/>
        <w:rPr>
          <w:rFonts w:ascii="黑体" w:eastAsia="黑体" w:hAnsi="黑体"/>
          <w:szCs w:val="32"/>
        </w:rPr>
      </w:pPr>
      <w:r>
        <w:rPr>
          <w:rFonts w:ascii="黑体" w:eastAsia="黑体" w:hAnsi="黑体" w:hint="eastAsia"/>
          <w:szCs w:val="32"/>
        </w:rPr>
        <w:t>二、办学点类型</w:t>
      </w:r>
    </w:p>
    <w:p w:rsidR="002865E1" w:rsidRDefault="003621FC">
      <w:pPr>
        <w:ind w:firstLine="640"/>
        <w:rPr>
          <w:rFonts w:ascii="仿宋_GB2312"/>
          <w:szCs w:val="32"/>
        </w:rPr>
      </w:pPr>
      <w:r>
        <w:rPr>
          <w:rFonts w:ascii="仿宋_GB2312" w:hint="eastAsia"/>
          <w:szCs w:val="32"/>
        </w:rPr>
        <w:t>主校区：对于设有多校区的高校，学校法人注册地或经教育行政部门审批或备案过的高校章程中的法定登记住所所在的校区称为“主校区”。</w:t>
      </w:r>
    </w:p>
    <w:p w:rsidR="002865E1" w:rsidRDefault="003621FC">
      <w:pPr>
        <w:ind w:firstLine="640"/>
        <w:rPr>
          <w:rFonts w:ascii="仿宋_GB2312"/>
          <w:szCs w:val="32"/>
        </w:rPr>
      </w:pPr>
      <w:r>
        <w:rPr>
          <w:rFonts w:ascii="仿宋_GB2312" w:hint="eastAsia"/>
          <w:szCs w:val="32"/>
        </w:rPr>
        <w:t>分校区：是指独立于主校区之外的主要承担本专科、研究生学生教学培养任务的校区、分校等。其中，只要有独立</w:t>
      </w:r>
      <w:r>
        <w:rPr>
          <w:rFonts w:ascii="仿宋_GB2312" w:hint="eastAsia"/>
          <w:szCs w:val="32"/>
        </w:rPr>
        <w:lastRenderedPageBreak/>
        <w:t>承担普通、职业或成人本专科培养任务的均算为校区，不以目前使用名称作为是否是校区的依据。校区命名时应尽可能不使用“</w:t>
      </w:r>
      <w:r>
        <w:rPr>
          <w:rFonts w:ascii="仿宋_GB2312"/>
          <w:szCs w:val="32"/>
        </w:rPr>
        <w:t>老校区</w:t>
      </w:r>
      <w:r>
        <w:rPr>
          <w:rFonts w:ascii="仿宋_GB2312" w:hint="eastAsia"/>
          <w:szCs w:val="32"/>
        </w:rPr>
        <w:t>”</w:t>
      </w:r>
      <w:r>
        <w:rPr>
          <w:rFonts w:ascii="仿宋_GB2312"/>
          <w:szCs w:val="32"/>
        </w:rPr>
        <w:t>、</w:t>
      </w:r>
      <w:r>
        <w:rPr>
          <w:rFonts w:ascii="仿宋_GB2312" w:hint="eastAsia"/>
          <w:szCs w:val="32"/>
        </w:rPr>
        <w:t>“</w:t>
      </w:r>
      <w:r>
        <w:rPr>
          <w:rFonts w:ascii="仿宋_GB2312"/>
          <w:szCs w:val="32"/>
        </w:rPr>
        <w:t>新校区</w:t>
      </w:r>
      <w:r>
        <w:rPr>
          <w:rFonts w:ascii="仿宋_GB2312" w:hint="eastAsia"/>
          <w:szCs w:val="32"/>
        </w:rPr>
        <w:t>”</w:t>
      </w:r>
      <w:r>
        <w:rPr>
          <w:rFonts w:ascii="仿宋_GB2312"/>
          <w:szCs w:val="32"/>
        </w:rPr>
        <w:t>、</w:t>
      </w:r>
      <w:r>
        <w:rPr>
          <w:rFonts w:ascii="仿宋_GB2312" w:hint="eastAsia"/>
          <w:szCs w:val="32"/>
        </w:rPr>
        <w:t>“</w:t>
      </w:r>
      <w:r>
        <w:rPr>
          <w:rFonts w:ascii="仿宋_GB2312"/>
          <w:szCs w:val="32"/>
        </w:rPr>
        <w:t>主校区</w:t>
      </w:r>
      <w:r>
        <w:rPr>
          <w:rFonts w:ascii="仿宋_GB2312" w:hint="eastAsia"/>
          <w:szCs w:val="32"/>
        </w:rPr>
        <w:t>”</w:t>
      </w:r>
      <w:r>
        <w:rPr>
          <w:rFonts w:ascii="仿宋_GB2312"/>
          <w:szCs w:val="32"/>
        </w:rPr>
        <w:t>这样的可识别性不强的名称，可用</w:t>
      </w:r>
      <w:r>
        <w:rPr>
          <w:rFonts w:ascii="仿宋_GB2312" w:hint="eastAsia"/>
          <w:szCs w:val="32"/>
        </w:rPr>
        <w:t>“</w:t>
      </w:r>
      <w:r>
        <w:rPr>
          <w:rFonts w:ascii="仿宋_GB2312"/>
          <w:szCs w:val="32"/>
        </w:rPr>
        <w:t>地名+校区</w:t>
      </w:r>
      <w:r>
        <w:rPr>
          <w:rFonts w:ascii="仿宋_GB2312" w:hint="eastAsia"/>
          <w:szCs w:val="32"/>
        </w:rPr>
        <w:t>”</w:t>
      </w:r>
      <w:r>
        <w:rPr>
          <w:rFonts w:ascii="仿宋_GB2312"/>
          <w:szCs w:val="32"/>
        </w:rPr>
        <w:t>的方式（如</w:t>
      </w:r>
      <w:r>
        <w:rPr>
          <w:rFonts w:ascii="仿宋_GB2312" w:hint="eastAsia"/>
          <w:szCs w:val="32"/>
        </w:rPr>
        <w:t>“</w:t>
      </w:r>
      <w:r>
        <w:rPr>
          <w:rFonts w:ascii="仿宋_GB2312"/>
          <w:szCs w:val="32"/>
        </w:rPr>
        <w:t>犀浦校区</w:t>
      </w:r>
      <w:r>
        <w:rPr>
          <w:rFonts w:ascii="仿宋_GB2312" w:hint="eastAsia"/>
          <w:szCs w:val="32"/>
        </w:rPr>
        <w:t>”</w:t>
      </w:r>
      <w:r>
        <w:rPr>
          <w:rFonts w:ascii="仿宋_GB2312"/>
          <w:szCs w:val="32"/>
        </w:rPr>
        <w:t>、</w:t>
      </w:r>
      <w:r>
        <w:rPr>
          <w:rFonts w:ascii="仿宋_GB2312" w:hint="eastAsia"/>
          <w:szCs w:val="32"/>
        </w:rPr>
        <w:t>“</w:t>
      </w:r>
      <w:r>
        <w:rPr>
          <w:rFonts w:ascii="仿宋_GB2312"/>
          <w:szCs w:val="32"/>
        </w:rPr>
        <w:t>海淀校区</w:t>
      </w:r>
      <w:r>
        <w:rPr>
          <w:rFonts w:ascii="仿宋_GB2312" w:hint="eastAsia"/>
          <w:szCs w:val="32"/>
        </w:rPr>
        <w:t>”</w:t>
      </w:r>
      <w:r>
        <w:rPr>
          <w:rFonts w:ascii="仿宋_GB2312"/>
          <w:szCs w:val="32"/>
        </w:rPr>
        <w:t>等），但习惯用名可以括号方式注明。</w:t>
      </w:r>
    </w:p>
    <w:p w:rsidR="002865E1" w:rsidRDefault="003621FC">
      <w:pPr>
        <w:ind w:firstLine="640"/>
      </w:pPr>
      <w:r>
        <w:rPr>
          <w:rFonts w:hint="eastAsia"/>
        </w:rPr>
        <w:t>研究生培养机构：是指高校中独立于主校区和分校区外的主要承担研究生培养任务（含全过程培养和非全过程培养）的机构。包括研究生院、研究生学院、研究生分院、研究院等。</w:t>
      </w:r>
    </w:p>
    <w:p w:rsidR="002865E1" w:rsidRDefault="003621FC">
      <w:pPr>
        <w:ind w:firstLine="640"/>
      </w:pPr>
      <w:r>
        <w:rPr>
          <w:rFonts w:hint="eastAsia"/>
        </w:rPr>
        <w:t>无学生培养任务的科研机构：是指独立于主校区、分校区和研究生培养机构外的主要承担科学研究、科技成果转移转化、企业孵化、社会服务等任务的研究机构。包括各种类型、各种性质的研究院、产业研究院、工业研究院、技术转移中心及分中心、大学科技园及分园、实验室、工程研究中心等。</w:t>
      </w:r>
    </w:p>
    <w:p w:rsidR="002865E1" w:rsidRDefault="003621FC">
      <w:pPr>
        <w:ind w:firstLine="640"/>
      </w:pPr>
      <w:r>
        <w:rPr>
          <w:rFonts w:hint="eastAsia"/>
        </w:rPr>
        <w:t>有学生培养任务的附属医院：是指承担至少</w:t>
      </w:r>
      <w:r>
        <w:t>1</w:t>
      </w:r>
      <w:r>
        <w:t>个以上医学类专业（毕业生可以按照规定参加医师资格考试的专业）的全程临床教育教学任务的附属医院。包括高校直属附属医院（医院主要负者人的任免或党组织关系在高校）和非直属医院（高校与医院医教研协同关系，其原有领导体制及经费渠道不改变）。</w:t>
      </w:r>
    </w:p>
    <w:p w:rsidR="002865E1" w:rsidRDefault="003621FC">
      <w:pPr>
        <w:ind w:firstLine="640"/>
      </w:pPr>
      <w:r>
        <w:rPr>
          <w:rFonts w:hint="eastAsia"/>
        </w:rPr>
        <w:t>高等学历继续教育校外教学点：是指为满足高等学历继</w:t>
      </w:r>
      <w:r>
        <w:rPr>
          <w:rFonts w:hint="eastAsia"/>
        </w:rPr>
        <w:lastRenderedPageBreak/>
        <w:t>续教育教学需要，以平等协商方式与校外其他法人单位合作，依托设点单位的场地、人员、设施等资源，开展招生宣传、线下面授、学习辅导、集中考试、实验实训、毕业指导、学生服务与管理等教育教学活动的场所。包括函授站、业余点、校外学习中心。</w:t>
      </w:r>
    </w:p>
    <w:p w:rsidR="002865E1" w:rsidRDefault="003621FC">
      <w:pPr>
        <w:ind w:firstLine="640"/>
      </w:pPr>
      <w:r>
        <w:rPr>
          <w:rFonts w:hint="eastAsia"/>
        </w:rPr>
        <w:t>专门实习用地：</w:t>
      </w:r>
      <w:bookmarkStart w:id="0" w:name="_Hlk106269696"/>
      <w:r>
        <w:rPr>
          <w:rFonts w:hint="eastAsia"/>
        </w:rPr>
        <w:t>是指独立于主校区和分校区外，有学校产权的农场、林场、牧场、渔场、树木园、生物实习园等各种专门实习用地</w:t>
      </w:r>
      <w:bookmarkEnd w:id="0"/>
      <w:r>
        <w:rPr>
          <w:rFonts w:hint="eastAsia"/>
        </w:rPr>
        <w:t>。</w:t>
      </w:r>
    </w:p>
    <w:p w:rsidR="002865E1" w:rsidRDefault="003621FC">
      <w:pPr>
        <w:ind w:firstLine="640"/>
      </w:pPr>
      <w:r>
        <w:rPr>
          <w:rFonts w:hint="eastAsia"/>
        </w:rPr>
        <w:t>其他校外用房：是指有学校产权，但不承担教学、科研任务的独立于校园外的其他用房。</w:t>
      </w:r>
    </w:p>
    <w:p w:rsidR="002865E1" w:rsidRDefault="002F78CC">
      <w:pPr>
        <w:ind w:firstLine="640"/>
        <w:rPr>
          <w:rFonts w:ascii="黑体" w:eastAsia="黑体" w:hAnsi="黑体"/>
          <w:szCs w:val="32"/>
        </w:rPr>
      </w:pPr>
      <w:r>
        <w:rPr>
          <w:rFonts w:ascii="黑体" w:eastAsia="黑体" w:hAnsi="黑体" w:hint="eastAsia"/>
          <w:szCs w:val="32"/>
        </w:rPr>
        <w:t>三</w:t>
      </w:r>
      <w:r w:rsidR="003621FC">
        <w:rPr>
          <w:rFonts w:ascii="黑体" w:eastAsia="黑体" w:hAnsi="黑体" w:hint="eastAsia"/>
          <w:szCs w:val="32"/>
        </w:rPr>
        <w:t>、数据采集汇总环节</w:t>
      </w:r>
    </w:p>
    <w:p w:rsidR="002865E1" w:rsidRDefault="00953379" w:rsidP="00D1781F">
      <w:pPr>
        <w:ind w:firstLine="640"/>
        <w:rPr>
          <w:rFonts w:ascii="仿宋_GB2312"/>
          <w:szCs w:val="32"/>
        </w:rPr>
      </w:pPr>
      <w:r>
        <w:rPr>
          <w:rFonts w:ascii="仿宋_GB2312" w:hint="eastAsia"/>
          <w:b/>
          <w:bCs/>
          <w:szCs w:val="32"/>
        </w:rPr>
        <w:t>(一)</w:t>
      </w:r>
      <w:r w:rsidR="003621FC">
        <w:rPr>
          <w:rFonts w:ascii="仿宋_GB2312" w:hint="eastAsia"/>
          <w:b/>
          <w:bCs/>
          <w:szCs w:val="32"/>
        </w:rPr>
        <w:t>填报内容</w:t>
      </w:r>
    </w:p>
    <w:p w:rsidR="002865E1" w:rsidRDefault="003621FC">
      <w:pPr>
        <w:ind w:firstLine="640"/>
        <w:rPr>
          <w:rFonts w:ascii="仿宋_GB2312"/>
          <w:szCs w:val="32"/>
        </w:rPr>
      </w:pPr>
      <w:r>
        <w:rPr>
          <w:rFonts w:ascii="仿宋_GB2312" w:hint="eastAsia"/>
          <w:szCs w:val="32"/>
        </w:rPr>
        <w:t>办学点统计调查表涉及学生、教职工、校园占地和校舍等内容。“教育统计管理信息系统”将根据办学点类型自动显示需填报的调查表。具体如下：</w:t>
      </w:r>
    </w:p>
    <w:p w:rsidR="002865E1" w:rsidRDefault="003621FC" w:rsidP="00D1781F">
      <w:pPr>
        <w:ind w:firstLine="640"/>
        <w:rPr>
          <w:rFonts w:ascii="仿宋_GB2312"/>
          <w:szCs w:val="32"/>
        </w:rPr>
      </w:pPr>
      <w:r>
        <w:rPr>
          <w:rFonts w:ascii="仿宋_GB2312" w:hint="eastAsia"/>
          <w:b/>
          <w:bCs/>
          <w:szCs w:val="32"/>
        </w:rPr>
        <w:t>主校区、分校区</w:t>
      </w:r>
      <w:r>
        <w:rPr>
          <w:rFonts w:ascii="仿宋_GB2312" w:hint="eastAsia"/>
          <w:szCs w:val="32"/>
        </w:rPr>
        <w:t>根据办学实际填报学生情况调查表包括专科、本科、硕士、博士的分专业学生数及国际学生基本情况的统计，分别为教基3324、教基3325、教基3326、教基3327、教基3328、教基3331、教基3332、教基3046；教职工情况调查表教基4352；</w:t>
      </w:r>
      <w:bookmarkStart w:id="1" w:name="_Hlk106281574"/>
      <w:r>
        <w:rPr>
          <w:rFonts w:ascii="仿宋_GB2312" w:hint="eastAsia"/>
          <w:szCs w:val="32"/>
        </w:rPr>
        <w:t>校园占地和校舍功能统计调查台账（含学校产权和非学校产权）</w:t>
      </w:r>
      <w:bookmarkEnd w:id="1"/>
      <w:r>
        <w:rPr>
          <w:rFonts w:ascii="仿宋_GB2312" w:hint="eastAsia"/>
          <w:szCs w:val="32"/>
        </w:rPr>
        <w:t>，分别为教基8386、教基8387、教基8388。</w:t>
      </w:r>
    </w:p>
    <w:p w:rsidR="002865E1" w:rsidRDefault="003621FC" w:rsidP="00D1781F">
      <w:pPr>
        <w:ind w:firstLine="640"/>
        <w:rPr>
          <w:rFonts w:ascii="仿宋_GB2312"/>
          <w:szCs w:val="32"/>
        </w:rPr>
      </w:pPr>
      <w:r>
        <w:rPr>
          <w:rFonts w:ascii="仿宋_GB2312" w:hint="eastAsia"/>
          <w:b/>
          <w:bCs/>
          <w:szCs w:val="32"/>
        </w:rPr>
        <w:lastRenderedPageBreak/>
        <w:t>研究生培养机构</w:t>
      </w:r>
      <w:r>
        <w:rPr>
          <w:rFonts w:ascii="仿宋_GB2312" w:hint="eastAsia"/>
          <w:szCs w:val="32"/>
        </w:rPr>
        <w:t>填报学生情况调查表包括硕士、博士的分专业学生数及国际学生基本情况的统计，分别为</w:t>
      </w:r>
      <w:r>
        <w:rPr>
          <w:rFonts w:ascii="仿宋_GB2312"/>
          <w:szCs w:val="32"/>
        </w:rPr>
        <w:t>教基3331、教基3332、教基3046</w:t>
      </w:r>
      <w:r>
        <w:rPr>
          <w:rFonts w:ascii="仿宋_GB2312" w:hint="eastAsia"/>
          <w:szCs w:val="32"/>
        </w:rPr>
        <w:t>；教职工情况调查表教基</w:t>
      </w:r>
      <w:r>
        <w:rPr>
          <w:rFonts w:ascii="仿宋_GB2312"/>
          <w:szCs w:val="32"/>
        </w:rPr>
        <w:t>4352；</w:t>
      </w:r>
      <w:r>
        <w:rPr>
          <w:rFonts w:ascii="仿宋_GB2312" w:hint="eastAsia"/>
          <w:szCs w:val="32"/>
        </w:rPr>
        <w:t>校园占地和校舍功能统计调查台账（含学校产权和非学校产权）</w:t>
      </w:r>
      <w:r>
        <w:rPr>
          <w:rFonts w:ascii="仿宋_GB2312"/>
          <w:szCs w:val="32"/>
        </w:rPr>
        <w:t>，分别为教基8386、教基8387、教基8388。</w:t>
      </w:r>
    </w:p>
    <w:p w:rsidR="002865E1" w:rsidRDefault="003621FC" w:rsidP="00D1781F">
      <w:pPr>
        <w:ind w:firstLine="640"/>
        <w:rPr>
          <w:rFonts w:ascii="仿宋_GB2312"/>
          <w:szCs w:val="32"/>
        </w:rPr>
      </w:pPr>
      <w:r>
        <w:rPr>
          <w:rFonts w:ascii="仿宋_GB2312" w:hint="eastAsia"/>
          <w:b/>
          <w:bCs/>
          <w:szCs w:val="32"/>
        </w:rPr>
        <w:t>无学生培养任务的科研机构</w:t>
      </w:r>
      <w:r>
        <w:rPr>
          <w:rFonts w:ascii="仿宋_GB2312" w:hint="eastAsia"/>
          <w:szCs w:val="32"/>
        </w:rPr>
        <w:t>填报教职工情况调查表教基</w:t>
      </w:r>
      <w:r>
        <w:rPr>
          <w:rFonts w:ascii="仿宋_GB2312"/>
          <w:szCs w:val="32"/>
        </w:rPr>
        <w:t>4352；</w:t>
      </w:r>
      <w:r>
        <w:rPr>
          <w:rFonts w:ascii="仿宋_GB2312" w:hint="eastAsia"/>
          <w:szCs w:val="32"/>
        </w:rPr>
        <w:t>学校产权的校园占地和校舍功能统计调查台账</w:t>
      </w:r>
      <w:r>
        <w:rPr>
          <w:rFonts w:ascii="仿宋_GB2312"/>
          <w:szCs w:val="32"/>
        </w:rPr>
        <w:t>，分别为教基8386、教基8387、教基8388。</w:t>
      </w:r>
      <w:r>
        <w:rPr>
          <w:rFonts w:ascii="仿宋_GB2312" w:hint="eastAsia"/>
          <w:szCs w:val="32"/>
        </w:rPr>
        <w:t>如无纳入到学校统一管理的教职工和学校产权的占地和校舍，相关数据填报0。</w:t>
      </w:r>
    </w:p>
    <w:p w:rsidR="002865E1" w:rsidRDefault="003621FC" w:rsidP="00D1781F">
      <w:pPr>
        <w:ind w:firstLine="640"/>
        <w:rPr>
          <w:rFonts w:ascii="仿宋_GB2312"/>
          <w:szCs w:val="32"/>
        </w:rPr>
      </w:pPr>
      <w:r>
        <w:rPr>
          <w:rFonts w:ascii="仿宋_GB2312" w:hint="eastAsia"/>
          <w:b/>
          <w:bCs/>
        </w:rPr>
        <w:t>有学生培养任务的附属医院</w:t>
      </w:r>
      <w:r>
        <w:rPr>
          <w:rFonts w:ascii="仿宋_GB2312" w:hint="eastAsia"/>
        </w:rPr>
        <w:t>根据办学实际填报学生情况调查表包括专科、本科、硕士、博士的分专业学生数及国际学生基本情况的统计，分别为教基</w:t>
      </w:r>
      <w:r>
        <w:rPr>
          <w:rFonts w:ascii="仿宋_GB2312"/>
        </w:rPr>
        <w:t>3324、教基3325、教基3326、教基3327、教基3328、教基3331、教基3332、教基3046；教职工情况调查表教基4352</w:t>
      </w:r>
      <w:r>
        <w:rPr>
          <w:rFonts w:ascii="仿宋_GB2312" w:hint="eastAsia"/>
          <w:b/>
          <w:bCs/>
        </w:rPr>
        <w:t>。</w:t>
      </w:r>
      <w:r>
        <w:rPr>
          <w:rFonts w:ascii="仿宋_GB2312" w:hint="eastAsia"/>
        </w:rPr>
        <w:t>对于学校按照聘用流程聘请的人事关系不在学校开展教学活动的临床教师，如果有教师资格证填报到聘请校外教师，无教师资格证填报到聘请行业导师。</w:t>
      </w:r>
    </w:p>
    <w:p w:rsidR="002865E1" w:rsidRDefault="003621FC" w:rsidP="00D1781F">
      <w:pPr>
        <w:ind w:firstLine="640"/>
        <w:rPr>
          <w:rFonts w:ascii="仿宋_GB2312"/>
        </w:rPr>
      </w:pPr>
      <w:r>
        <w:rPr>
          <w:rFonts w:ascii="仿宋_GB2312" w:hint="eastAsia"/>
          <w:b/>
          <w:bCs/>
        </w:rPr>
        <w:t>高等学历继续教育校外教学点</w:t>
      </w:r>
      <w:r>
        <w:rPr>
          <w:rFonts w:ascii="仿宋_GB2312" w:hint="eastAsia"/>
        </w:rPr>
        <w:t>填报学生情况调查表包括成人专科、成人本科分专业学生数，分别为</w:t>
      </w:r>
      <w:r>
        <w:rPr>
          <w:rFonts w:ascii="仿宋_GB2312"/>
        </w:rPr>
        <w:t>教基3327、教基3328；教职工情况调查表教基4352。</w:t>
      </w:r>
    </w:p>
    <w:p w:rsidR="002865E1" w:rsidRDefault="003621FC" w:rsidP="00D1781F">
      <w:pPr>
        <w:ind w:firstLine="640"/>
      </w:pPr>
      <w:r>
        <w:rPr>
          <w:rFonts w:ascii="仿宋_GB2312" w:hint="eastAsia"/>
          <w:b/>
          <w:bCs/>
        </w:rPr>
        <w:t>专门实习用地、其他校外用房</w:t>
      </w:r>
      <w:r>
        <w:rPr>
          <w:rFonts w:ascii="仿宋_GB2312" w:hint="eastAsia"/>
        </w:rPr>
        <w:t>仅填报</w:t>
      </w:r>
      <w:r>
        <w:rPr>
          <w:rFonts w:ascii="仿宋_GB2312" w:hint="eastAsia"/>
          <w:b/>
          <w:bCs/>
        </w:rPr>
        <w:t>学校产权的</w:t>
      </w:r>
      <w:r>
        <w:rPr>
          <w:rFonts w:ascii="仿宋_GB2312" w:hint="eastAsia"/>
        </w:rPr>
        <w:t>占地和</w:t>
      </w:r>
      <w:r>
        <w:rPr>
          <w:rFonts w:ascii="仿宋_GB2312" w:hint="eastAsia"/>
        </w:rPr>
        <w:lastRenderedPageBreak/>
        <w:t>校舍功能统计调查台账，分别为教基</w:t>
      </w:r>
      <w:r>
        <w:rPr>
          <w:rFonts w:ascii="仿宋_GB2312"/>
        </w:rPr>
        <w:t>8386、教基8387、教基8388</w:t>
      </w:r>
      <w:r>
        <w:rPr>
          <w:rFonts w:ascii="仿宋_GB2312" w:hint="eastAsia"/>
        </w:rPr>
        <w:t>。其中，专门实习用地不包含在教基</w:t>
      </w:r>
      <w:r>
        <w:rPr>
          <w:rFonts w:ascii="仿宋_GB2312"/>
        </w:rPr>
        <w:t>5377</w:t>
      </w:r>
      <w:r>
        <w:rPr>
          <w:rFonts w:ascii="仿宋_GB2312" w:hint="eastAsia"/>
        </w:rPr>
        <w:t>高校占地面积中，也不参与高校生均占地面积的计算。</w:t>
      </w:r>
    </w:p>
    <w:p w:rsidR="002865E1" w:rsidRDefault="00953379" w:rsidP="00D1781F">
      <w:pPr>
        <w:ind w:firstLine="640"/>
        <w:rPr>
          <w:rFonts w:ascii="仿宋_GB2312"/>
          <w:b/>
          <w:bCs/>
          <w:szCs w:val="32"/>
        </w:rPr>
      </w:pPr>
      <w:r>
        <w:rPr>
          <w:rFonts w:ascii="仿宋_GB2312" w:hint="eastAsia"/>
          <w:b/>
          <w:bCs/>
          <w:szCs w:val="32"/>
        </w:rPr>
        <w:t>（二）</w:t>
      </w:r>
      <w:r w:rsidR="003621FC">
        <w:rPr>
          <w:rFonts w:ascii="仿宋_GB2312"/>
          <w:b/>
          <w:bCs/>
          <w:szCs w:val="32"/>
        </w:rPr>
        <w:t>数据填报依据</w:t>
      </w:r>
    </w:p>
    <w:p w:rsidR="002865E1" w:rsidRDefault="003621FC">
      <w:pPr>
        <w:ind w:firstLine="640"/>
        <w:rPr>
          <w:rFonts w:ascii="仿宋_GB2312"/>
          <w:szCs w:val="32"/>
        </w:rPr>
      </w:pPr>
      <w:r>
        <w:rPr>
          <w:rFonts w:ascii="仿宋_GB2312" w:hint="eastAsia"/>
          <w:szCs w:val="32"/>
        </w:rPr>
        <w:t>全日制学生按住宿所在地填报，非全日制学生按培养所在地填报。</w:t>
      </w:r>
    </w:p>
    <w:p w:rsidR="002865E1" w:rsidRDefault="003621FC">
      <w:pPr>
        <w:ind w:firstLine="640"/>
        <w:rPr>
          <w:rFonts w:ascii="仿宋_GB2312"/>
          <w:szCs w:val="32"/>
        </w:rPr>
      </w:pPr>
      <w:r>
        <w:rPr>
          <w:rFonts w:ascii="仿宋_GB2312" w:hint="eastAsia"/>
          <w:szCs w:val="32"/>
        </w:rPr>
        <w:t>教职工按工作时长最长校区填报；教职工、校外教师、行业导师和外籍教师均不包括学校内设机构自聘人员。</w:t>
      </w:r>
    </w:p>
    <w:p w:rsidR="002865E1" w:rsidRDefault="003621FC" w:rsidP="002F78CC">
      <w:pPr>
        <w:ind w:firstLine="640"/>
      </w:pPr>
      <w:r>
        <w:rPr>
          <w:rFonts w:ascii="仿宋_GB2312" w:hint="eastAsia"/>
          <w:szCs w:val="32"/>
        </w:rPr>
        <w:t>校园占地和校舍按产权所在地填报。</w:t>
      </w:r>
      <w:bookmarkStart w:id="2" w:name="_GoBack"/>
      <w:bookmarkEnd w:id="2"/>
    </w:p>
    <w:sectPr w:rsidR="002865E1" w:rsidSect="00F400E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7BB" w:rsidRDefault="00F437BB">
      <w:pPr>
        <w:ind w:firstLine="640"/>
      </w:pPr>
      <w:r>
        <w:separator/>
      </w:r>
    </w:p>
  </w:endnote>
  <w:endnote w:type="continuationSeparator" w:id="1">
    <w:p w:rsidR="00F437BB" w:rsidRDefault="00F437BB">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等线 Light">
    <w:charset w:val="86"/>
    <w:family w:val="auto"/>
    <w:pitch w:val="variable"/>
    <w:sig w:usb0="A00002BF" w:usb1="38CF7CFA" w:usb2="00000016" w:usb3="00000000" w:csb0="0004000F" w:csb1="00000000"/>
  </w:font>
  <w:font w:name="方正小标宋简体">
    <w:altName w:val="Arial Unicode MS"/>
    <w:charset w:val="86"/>
    <w:family w:val="auto"/>
    <w:pitch w:val="variable"/>
    <w:sig w:usb0="00000000"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5E1" w:rsidRDefault="002865E1">
    <w:pPr>
      <w:pStyle w:val="a3"/>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099179"/>
      <w:docPartObj>
        <w:docPartGallery w:val="AutoText"/>
      </w:docPartObj>
    </w:sdtPr>
    <w:sdtEndPr>
      <w:rPr>
        <w:rFonts w:ascii="Times New Roman" w:hAnsi="Times New Roman" w:cs="Times New Roman"/>
        <w:sz w:val="21"/>
        <w:szCs w:val="21"/>
      </w:rPr>
    </w:sdtEndPr>
    <w:sdtContent>
      <w:p w:rsidR="002865E1" w:rsidRDefault="00F400E5">
        <w:pPr>
          <w:pStyle w:val="a3"/>
          <w:ind w:firstLine="360"/>
          <w:jc w:val="center"/>
          <w:rPr>
            <w:rFonts w:ascii="Times New Roman" w:hAnsi="Times New Roman" w:cs="Times New Roman"/>
            <w:sz w:val="21"/>
            <w:szCs w:val="21"/>
          </w:rPr>
        </w:pPr>
        <w:r>
          <w:rPr>
            <w:rFonts w:ascii="Times New Roman" w:hAnsi="Times New Roman" w:cs="Times New Roman"/>
            <w:sz w:val="21"/>
            <w:szCs w:val="21"/>
          </w:rPr>
          <w:fldChar w:fldCharType="begin"/>
        </w:r>
        <w:r w:rsidR="003621FC">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sidR="00D1781F" w:rsidRPr="00D1781F">
          <w:rPr>
            <w:rFonts w:ascii="Times New Roman" w:hAnsi="Times New Roman" w:cs="Times New Roman"/>
            <w:noProof/>
            <w:sz w:val="21"/>
            <w:szCs w:val="21"/>
            <w:lang w:val="zh-CN"/>
          </w:rPr>
          <w:t>1</w:t>
        </w:r>
        <w:r>
          <w:rPr>
            <w:rFonts w:ascii="Times New Roman" w:hAnsi="Times New Roman" w:cs="Times New Roman"/>
            <w:sz w:val="21"/>
            <w:szCs w:val="21"/>
          </w:rPr>
          <w:fldChar w:fldCharType="end"/>
        </w:r>
      </w:p>
    </w:sdtContent>
  </w:sdt>
  <w:p w:rsidR="002865E1" w:rsidRDefault="002865E1">
    <w:pPr>
      <w:pStyle w:val="a3"/>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5E1" w:rsidRDefault="002865E1">
    <w:pPr>
      <w:pStyle w:val="a3"/>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7BB" w:rsidRDefault="00F437BB">
      <w:pPr>
        <w:ind w:firstLine="640"/>
      </w:pPr>
      <w:r>
        <w:separator/>
      </w:r>
    </w:p>
  </w:footnote>
  <w:footnote w:type="continuationSeparator" w:id="1">
    <w:p w:rsidR="00F437BB" w:rsidRDefault="00F437BB">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5E1" w:rsidRDefault="002865E1">
    <w:pPr>
      <w:ind w:firstLine="64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5E1" w:rsidRDefault="002865E1">
    <w:pPr>
      <w:ind w:firstLine="64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5E1" w:rsidRDefault="002865E1">
    <w:pPr>
      <w:ind w:firstLine="64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2260"/>
    <w:rsid w:val="000E01D7"/>
    <w:rsid w:val="00111CFA"/>
    <w:rsid w:val="001A4E99"/>
    <w:rsid w:val="002865E1"/>
    <w:rsid w:val="002F78CC"/>
    <w:rsid w:val="003621FC"/>
    <w:rsid w:val="003B384A"/>
    <w:rsid w:val="00426D4A"/>
    <w:rsid w:val="004C5986"/>
    <w:rsid w:val="0051767C"/>
    <w:rsid w:val="00571F01"/>
    <w:rsid w:val="005C53E5"/>
    <w:rsid w:val="005E77B2"/>
    <w:rsid w:val="006525A3"/>
    <w:rsid w:val="006702B8"/>
    <w:rsid w:val="00736CE5"/>
    <w:rsid w:val="007E2260"/>
    <w:rsid w:val="008D7E2F"/>
    <w:rsid w:val="009374B8"/>
    <w:rsid w:val="00953379"/>
    <w:rsid w:val="00966125"/>
    <w:rsid w:val="009A473E"/>
    <w:rsid w:val="00B87610"/>
    <w:rsid w:val="00B93F07"/>
    <w:rsid w:val="00C21350"/>
    <w:rsid w:val="00C90363"/>
    <w:rsid w:val="00D1781F"/>
    <w:rsid w:val="00D770E4"/>
    <w:rsid w:val="00DB07F9"/>
    <w:rsid w:val="00EF4206"/>
    <w:rsid w:val="00F34BB4"/>
    <w:rsid w:val="00F400E5"/>
    <w:rsid w:val="00F437BB"/>
    <w:rsid w:val="00FD4F57"/>
    <w:rsid w:val="25B778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F400E5"/>
    <w:pPr>
      <w:widowControl w:val="0"/>
      <w:ind w:firstLineChars="200" w:firstLine="880"/>
      <w:jc w:val="both"/>
    </w:pPr>
    <w:rPr>
      <w:rFonts w:eastAsia="仿宋_GB2312"/>
      <w:kern w:val="2"/>
      <w:sz w:val="32"/>
      <w:szCs w:val="22"/>
    </w:rPr>
  </w:style>
  <w:style w:type="paragraph" w:styleId="2">
    <w:name w:val="heading 2"/>
    <w:basedOn w:val="a"/>
    <w:next w:val="a"/>
    <w:link w:val="2Char"/>
    <w:uiPriority w:val="9"/>
    <w:semiHidden/>
    <w:unhideWhenUsed/>
    <w:qFormat/>
    <w:rsid w:val="00F400E5"/>
    <w:pPr>
      <w:keepNext/>
      <w:keepLines/>
      <w:spacing w:before="260" w:after="260" w:line="416" w:lineRule="auto"/>
      <w:outlineLvl w:val="1"/>
    </w:pPr>
    <w:rPr>
      <w:rFonts w:asciiTheme="majorHAnsi" w:eastAsiaTheme="majorEastAsia"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400E5"/>
    <w:pPr>
      <w:tabs>
        <w:tab w:val="center" w:pos="4153"/>
        <w:tab w:val="right" w:pos="8306"/>
      </w:tabs>
      <w:snapToGrid w:val="0"/>
      <w:jc w:val="left"/>
    </w:pPr>
    <w:rPr>
      <w:sz w:val="18"/>
      <w:szCs w:val="18"/>
    </w:rPr>
  </w:style>
  <w:style w:type="table" w:styleId="a4">
    <w:name w:val="Table Grid"/>
    <w:basedOn w:val="a1"/>
    <w:uiPriority w:val="39"/>
    <w:qFormat/>
    <w:rsid w:val="00F400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uiPriority w:val="9"/>
    <w:semiHidden/>
    <w:qFormat/>
    <w:rsid w:val="00F400E5"/>
    <w:rPr>
      <w:rFonts w:asciiTheme="majorHAnsi" w:eastAsiaTheme="majorEastAsia" w:hAnsiTheme="majorHAnsi" w:cstheme="majorBidi"/>
      <w:b/>
      <w:bCs/>
      <w:sz w:val="32"/>
      <w:szCs w:val="32"/>
    </w:rPr>
  </w:style>
  <w:style w:type="character" w:customStyle="1" w:styleId="Char">
    <w:name w:val="页脚 Char"/>
    <w:basedOn w:val="a0"/>
    <w:link w:val="a3"/>
    <w:uiPriority w:val="99"/>
    <w:rsid w:val="00F400E5"/>
    <w:rPr>
      <w:rFonts w:eastAsia="仿宋_GB231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ind w:firstLineChars="200" w:firstLine="880"/>
      <w:jc w:val="both"/>
    </w:pPr>
    <w:rPr>
      <w:rFonts w:eastAsia="仿宋_GB2312"/>
      <w:kern w:val="2"/>
      <w:sz w:val="32"/>
      <w:szCs w:val="22"/>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table" w:styleId="a4">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character" w:customStyle="1" w:styleId="Char">
    <w:name w:val="页脚 Char"/>
    <w:basedOn w:val="a0"/>
    <w:link w:val="a3"/>
    <w:uiPriority w:val="99"/>
    <w:rPr>
      <w:rFonts w:eastAsia="仿宋_GB231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9892D17-5020-4140-901E-8591E0D7D79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郝 钢</dc:creator>
  <cp:lastModifiedBy>匿名用户</cp:lastModifiedBy>
  <cp:revision>15</cp:revision>
  <dcterms:created xsi:type="dcterms:W3CDTF">2022-06-16T07:29:00Z</dcterms:created>
  <dcterms:modified xsi:type="dcterms:W3CDTF">2022-10-04T10:52:00Z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