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72" w:type="pct"/>
        <w:jc w:val="center"/>
        <w:tblLook w:val="04A0" w:firstRow="1" w:lastRow="0" w:firstColumn="1" w:lastColumn="0" w:noHBand="0" w:noVBand="1"/>
      </w:tblPr>
      <w:tblGrid>
        <w:gridCol w:w="891"/>
        <w:gridCol w:w="1090"/>
        <w:gridCol w:w="2835"/>
        <w:gridCol w:w="4923"/>
        <w:gridCol w:w="3015"/>
      </w:tblGrid>
      <w:tr w:rsidR="00D4025C" w:rsidRPr="00F72E6A" w:rsidTr="000D497F">
        <w:trPr>
          <w:trHeight w:val="697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问题项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问题描述</w:t>
            </w:r>
          </w:p>
        </w:tc>
        <w:tc>
          <w:tcPr>
            <w:tcW w:w="1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整改建议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D4025C" w:rsidRPr="00F72E6A" w:rsidTr="000D497F">
        <w:trPr>
          <w:trHeight w:val="1243"/>
          <w:jc w:val="center"/>
        </w:trPr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技术类问题</w:t>
            </w:r>
          </w:p>
        </w:tc>
        <w:tc>
          <w:tcPr>
            <w:tcW w:w="11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1.服务器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、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终端、应用系统、数据库、中间件等存在弱口令和默认口令;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2.未启用口令安全策略;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3.未定期更换口令等问题。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1.修改默认口令和弱口令，设置满足复杂度要求的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口令，口令长度至少8位，并包括数字、小写字母、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大写字母和特殊符号4类中至少3类。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2.启用服务器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、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终端等口令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安全策略，并对失效账号进行清理。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必改项</w:t>
            </w:r>
          </w:p>
        </w:tc>
      </w:tr>
      <w:tr w:rsidR="00D4025C" w:rsidRPr="00F72E6A" w:rsidTr="000D497F">
        <w:trPr>
          <w:trHeight w:val="498"/>
          <w:jc w:val="center"/>
        </w:trPr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3.建议定期更换口令，更换周期不大于90天，保证口令强度和更新频率。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视情况整改，建议不超过一年</w:t>
            </w:r>
          </w:p>
        </w:tc>
      </w:tr>
      <w:tr w:rsidR="00D4025C" w:rsidRPr="00F72E6A" w:rsidTr="000D497F">
        <w:trPr>
          <w:trHeight w:val="995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1.账号密码张贴在机房墙上或主机上;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1.严禁将账号、口令张贴在机房、显示器、主机、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设备外壳等公开位置。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2.建议加强员工安全意识培训教育，规范账号密码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文档管理和存储。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必改项</w:t>
            </w:r>
          </w:p>
        </w:tc>
      </w:tr>
      <w:tr w:rsidR="00D4025C" w:rsidRPr="00F72E6A" w:rsidTr="000D497F">
        <w:trPr>
          <w:trHeight w:val="1740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.未定期开展安全自查和安全加固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;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2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.未及时处置网络安全事件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;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.定期开展网络安全自查，并对隐患整改情况进行跟踪、确认等闭环管理，确保在实战前完成所有隐患整治，无法整改的问题做好临时防护措施。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2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及时处置本单位已发生的网络安全事件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必改项</w:t>
            </w:r>
          </w:p>
        </w:tc>
      </w:tr>
      <w:tr w:rsidR="00D4025C" w:rsidRPr="00F72E6A" w:rsidTr="000D497F">
        <w:trPr>
          <w:trHeight w:val="1740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1.未安装杀毒软件、未及时更新病毒库、未定期开展病毒查杀;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2.未及时更新补丁.未关闭非必要的高危服务和端口;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3.管理账号权限过大、未及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时删除测试账号、临时账号、无用账号等主机安全问题。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1.安装主机杀毒软件,及时更新病毒库和系统补丁。定期对服务器进行漏洞扫描，进行服务器木马查杀、后门清理及日志分析，并有详细记录报告。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2.关闭非必要的高危服务和端口，如21、 22、23、135、139、445、1433、1521、3306 、3389、7474等。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3.及时删除测试账号、临时账号、无用账号，严格控制账号权限。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必改项</w:t>
            </w:r>
          </w:p>
        </w:tc>
      </w:tr>
      <w:tr w:rsidR="00D4025C" w:rsidRPr="00F72E6A" w:rsidTr="000D497F">
        <w:trPr>
          <w:trHeight w:val="2238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1.机房门禁系统未按要求进行建设、机房缺少防火防盗系统、机房出入记录和巡检记录不完整、机房任意堆放无关物品、设备间直接当作机房使用等: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2.无需登记即可进入核心办公区域或机房重地;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3.电子屏外部接口暴露在不可控区域等物理环境问题。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 机房的建设和管理应符合国家标准规范，机房出入口应配备电子门禁或门锁对进出人员进行鉴别、记录，配备相应防火防盗系统。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2.加强核心办公区域的管理，机房出入应按规定办理相应的审批登记手续。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3.应对电子屏的外部接口(如无线、有线、蓝牙、红外、USB 等)进行有效管控，关闭或物理封闭不需要的外部接口以及视频播放功能(如无线投射功能)。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必改项</w:t>
            </w:r>
          </w:p>
        </w:tc>
      </w:tr>
      <w:tr w:rsidR="00D4025C" w:rsidRPr="00F72E6A" w:rsidTr="000D497F">
        <w:trPr>
          <w:trHeight w:val="995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1.未及时下线互联网测试系统和老旧系统;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2.未全面收集网络资产信息、网络资产表不够详细;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3.未及时下架报废设备等问题。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1.全面梳理本单位的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网站、信息系统、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移动应用、信息传输、各类泛终端、打印机、摄像头、闲置系统、原型系统、中间件等资产，编制资产清单。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2.及时下线互联网测试系统、老旧系统等。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必改项</w:t>
            </w:r>
          </w:p>
        </w:tc>
      </w:tr>
      <w:tr w:rsidR="00D4025C" w:rsidRPr="00F72E6A" w:rsidTr="000D497F">
        <w:trPr>
          <w:trHeight w:val="995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应用系统登录页面未接入统一身份认证系统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 应用系统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应统一使用学校统一身份认证系统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登录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，加强登录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页面验证机制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必改项</w:t>
            </w:r>
          </w:p>
        </w:tc>
      </w:tr>
      <w:tr w:rsidR="00D4025C" w:rsidRPr="00F72E6A" w:rsidTr="000D497F">
        <w:trPr>
          <w:trHeight w:val="1492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lastRenderedPageBreak/>
              <w:t>8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机房未具备边界防护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能力。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1.采用物理隔离方式严格划分网络区域，在网络边界部署防护设备，并配置相应的安全策略。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加强值班值守，提高安全防护能力</w:t>
            </w:r>
          </w:p>
        </w:tc>
      </w:tr>
      <w:tr w:rsidR="00D4025C" w:rsidRPr="00F72E6A" w:rsidTr="000D497F">
        <w:trPr>
          <w:trHeight w:val="817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1.机房部分业务核心服务器较多使用国外设备。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持续推进核心系统和核心设备国产化替代。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制定整改计划，持续改进</w:t>
            </w:r>
          </w:p>
        </w:tc>
      </w:tr>
      <w:tr w:rsidR="00D4025C" w:rsidRPr="00F72E6A" w:rsidTr="000D497F">
        <w:trPr>
          <w:trHeight w:val="1243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管理类问题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未对第三方企业人员进行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审查，未签订保密协议;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2.网络安全事件未及时上报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;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3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.未定期开展网络安全宣传、培训和教育，基层单位重应用轻安全、安全意识严重不足等问题。</w:t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加强对第三方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企业和人员管理及审查，签订保密协议；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2.网络安全事件应及时上报；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3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.建议定期开展网络安全宣传和培训，加强基层员工日常的培训和教育。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必改项</w:t>
            </w:r>
          </w:p>
        </w:tc>
      </w:tr>
      <w:tr w:rsidR="00D4025C" w:rsidRPr="00F72E6A" w:rsidTr="000D497F">
        <w:trPr>
          <w:trHeight w:val="746"/>
          <w:jc w:val="center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未明确本单位网络安全责任人。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</w:r>
          </w:p>
        </w:tc>
        <w:tc>
          <w:tcPr>
            <w:tcW w:w="19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  <w:t>1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.应明确本单位网络安全责任部门及责任人，强化</w:t>
            </w: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br/>
              <w:t>日网络安全工作的管理。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25C" w:rsidRPr="00F72E6A" w:rsidRDefault="00D4025C" w:rsidP="000D497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F72E6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结合实际情况，加强网络安全管理</w:t>
            </w:r>
          </w:p>
        </w:tc>
      </w:tr>
    </w:tbl>
    <w:p w:rsidR="002336C0" w:rsidRPr="00D4025C" w:rsidRDefault="002336C0">
      <w:bookmarkStart w:id="0" w:name="_GoBack"/>
      <w:bookmarkEnd w:id="0"/>
    </w:p>
    <w:sectPr w:rsidR="002336C0" w:rsidRPr="00D4025C" w:rsidSect="00D402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25C" w:rsidRDefault="00D4025C" w:rsidP="00D4025C">
      <w:r>
        <w:separator/>
      </w:r>
    </w:p>
  </w:endnote>
  <w:endnote w:type="continuationSeparator" w:id="0">
    <w:p w:rsidR="00D4025C" w:rsidRDefault="00D4025C" w:rsidP="00D4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25C" w:rsidRDefault="00D4025C" w:rsidP="00D4025C">
      <w:r>
        <w:separator/>
      </w:r>
    </w:p>
  </w:footnote>
  <w:footnote w:type="continuationSeparator" w:id="0">
    <w:p w:rsidR="00D4025C" w:rsidRDefault="00D4025C" w:rsidP="00D40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1C"/>
    <w:rsid w:val="002336C0"/>
    <w:rsid w:val="0055441C"/>
    <w:rsid w:val="00D4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8D03C1-39ED-40AD-90D9-3D5496E5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2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2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2</cp:revision>
  <dcterms:created xsi:type="dcterms:W3CDTF">2022-08-01T03:40:00Z</dcterms:created>
  <dcterms:modified xsi:type="dcterms:W3CDTF">2022-08-01T03:40:00Z</dcterms:modified>
</cp:coreProperties>
</file>